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rPr>
          <w:rFonts w:ascii="方正小标宋简体" w:hAnsi="宋体" w:eastAsia="方正小标宋简体"/>
          <w:b/>
          <w:sz w:val="44"/>
          <w:szCs w:val="44"/>
        </w:rPr>
      </w:pPr>
      <w:r>
        <w:rPr>
          <w:rFonts w:hint="eastAsia" w:ascii="方正小标宋简体" w:hAnsi="宋体" w:eastAsia="方正小标宋简体"/>
          <w:b/>
          <w:sz w:val="44"/>
          <w:szCs w:val="44"/>
        </w:rPr>
        <w:t>广东省教育厅关于举办“金湾杯”第七届</w:t>
      </w:r>
    </w:p>
    <w:p>
      <w:pPr>
        <w:spacing w:after="0" w:line="640" w:lineRule="exact"/>
        <w:jc w:val="center"/>
        <w:rPr>
          <w:rFonts w:ascii="方正小标宋简体" w:hAnsi="宋体" w:eastAsia="方正小标宋简体"/>
          <w:b/>
          <w:sz w:val="36"/>
          <w:szCs w:val="36"/>
        </w:rPr>
      </w:pPr>
      <w:r>
        <w:rPr>
          <w:rFonts w:hint="eastAsia" w:ascii="方正小标宋简体" w:hAnsi="宋体" w:eastAsia="方正小标宋简体"/>
          <w:b/>
          <w:sz w:val="44"/>
          <w:szCs w:val="44"/>
        </w:rPr>
        <w:t>广东省大学生职业规划大赛的通知</w:t>
      </w:r>
    </w:p>
    <w:p>
      <w:pPr>
        <w:spacing w:after="0" w:line="600" w:lineRule="exact"/>
        <w:jc w:val="center"/>
        <w:rPr>
          <w:rFonts w:ascii="方正小标宋简体" w:hAnsi="宋体" w:eastAsia="方正小标宋简体"/>
          <w:b/>
          <w:sz w:val="36"/>
          <w:szCs w:val="36"/>
        </w:rPr>
      </w:pPr>
    </w:p>
    <w:p>
      <w:pPr>
        <w:spacing w:after="0" w:line="560" w:lineRule="exact"/>
        <w:rPr>
          <w:rFonts w:ascii="仿宋_GB2312" w:hAnsi="Calibri" w:eastAsia="仿宋_GB2312"/>
          <w:sz w:val="32"/>
          <w:szCs w:val="32"/>
        </w:rPr>
      </w:pPr>
      <w:r>
        <w:rPr>
          <w:rFonts w:hint="eastAsia" w:ascii="仿宋_GB2312" w:hAnsi="Calibri" w:eastAsia="仿宋_GB2312"/>
          <w:sz w:val="32"/>
          <w:szCs w:val="32"/>
        </w:rPr>
        <w:t>各普通高等学校：</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为进一步强化就业创业指导精准服务，完善职业发展与就业指导课程体系，提升大学生职业素养与教师职业指导能力，根据《教育部关于做好2017届全国普通高等学校毕业生就业创业工作的通知》（教学〔2016〕11号）要求，现定于2017年4月--6月举办“金湾杯”第七届广东省大学生职业规划大赛。现就有关事项通知如下：</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一、大赛主题</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规划当下，赢取未来。</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二、组织机构</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主办单位：广东省教育厅。</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承办单位：珠海市金湾区人民政府、</w:t>
      </w:r>
    </w:p>
    <w:p>
      <w:pPr>
        <w:spacing w:after="0" w:line="560" w:lineRule="exact"/>
        <w:ind w:firstLine="2378" w:firstLineChars="708"/>
        <w:rPr>
          <w:rFonts w:ascii="仿宋_GB2312" w:hAnsi="Calibri" w:eastAsia="仿宋_GB2312"/>
          <w:sz w:val="32"/>
          <w:szCs w:val="32"/>
        </w:rPr>
      </w:pPr>
      <w:r>
        <w:rPr>
          <w:rFonts w:hint="eastAsia" w:ascii="仿宋_GB2312" w:hAnsi="Calibri" w:eastAsia="仿宋_GB2312"/>
          <w:sz w:val="32"/>
          <w:szCs w:val="32"/>
        </w:rPr>
        <w:t>吉林大学珠海学院、</w:t>
      </w:r>
    </w:p>
    <w:p>
      <w:pPr>
        <w:spacing w:after="0" w:line="560" w:lineRule="exact"/>
        <w:ind w:firstLine="2378" w:firstLineChars="708"/>
        <w:rPr>
          <w:rFonts w:ascii="仿宋_GB2312" w:hAnsi="Calibri" w:eastAsia="仿宋_GB2312"/>
          <w:sz w:val="32"/>
          <w:szCs w:val="32"/>
        </w:rPr>
      </w:pPr>
      <w:r>
        <w:rPr>
          <w:rFonts w:hint="eastAsia" w:ascii="仿宋_GB2312" w:hAnsi="Calibri" w:eastAsia="仿宋_GB2312"/>
          <w:sz w:val="32"/>
          <w:szCs w:val="32"/>
        </w:rPr>
        <w:t>广东省高等学校毕业生就业促进会、</w:t>
      </w:r>
    </w:p>
    <w:p>
      <w:pPr>
        <w:spacing w:after="0" w:line="560" w:lineRule="exact"/>
        <w:ind w:firstLine="2378" w:firstLineChars="708"/>
        <w:rPr>
          <w:rFonts w:ascii="仿宋_GB2312" w:hAnsi="Calibri" w:eastAsia="仿宋_GB2312"/>
          <w:sz w:val="32"/>
          <w:szCs w:val="32"/>
        </w:rPr>
      </w:pPr>
      <w:r>
        <w:rPr>
          <w:rFonts w:hint="eastAsia" w:ascii="仿宋_GB2312" w:hAnsi="Calibri" w:eastAsia="仿宋_GB2312"/>
          <w:sz w:val="32"/>
          <w:szCs w:val="32"/>
        </w:rPr>
        <w:t>广东省大学生创业就业促进会。</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培训单位：华南农业大学。</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赛事平台：大学生就业在线（www.gradjob.com.cn）、</w:t>
      </w:r>
    </w:p>
    <w:p>
      <w:pPr>
        <w:wordWrap w:val="0"/>
        <w:spacing w:after="0" w:line="560" w:lineRule="exact"/>
        <w:ind w:left="2260" w:leftChars="1076"/>
        <w:rPr>
          <w:rFonts w:ascii="仿宋_GB2312" w:hAnsi="Calibri" w:eastAsia="仿宋_GB2312"/>
          <w:sz w:val="32"/>
          <w:szCs w:val="32"/>
        </w:rPr>
      </w:pPr>
      <w:r>
        <w:rPr>
          <w:rFonts w:hint="eastAsia" w:ascii="仿宋_GB2312" w:hAnsi="Calibri" w:eastAsia="仿宋_GB2312"/>
          <w:sz w:val="32"/>
          <w:szCs w:val="32"/>
        </w:rPr>
        <w:t>广东省大学生就业创业系统平台（“青聘果APP”,http://www.qingpinwo.com ）。</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三、参赛对象</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参赛对象为广东省普通高校在校生（不含研究生、在职生等）。赛事根据比赛规程（附件1）分本科组、高职组两个组别进行。</w:t>
      </w:r>
    </w:p>
    <w:p>
      <w:pPr>
        <w:spacing w:line="560" w:lineRule="exact"/>
        <w:ind w:firstLine="640" w:firstLineChars="200"/>
        <w:rPr>
          <w:rFonts w:ascii="黑体" w:hAnsi="黑体" w:eastAsia="黑体"/>
          <w:sz w:val="32"/>
          <w:szCs w:val="32"/>
        </w:rPr>
      </w:pPr>
      <w:r>
        <w:rPr>
          <w:rFonts w:hint="eastAsia" w:ascii="黑体" w:hAnsi="黑体" w:eastAsia="黑体"/>
          <w:sz w:val="32"/>
          <w:szCs w:val="32"/>
        </w:rPr>
        <w:t>四、赛程安排</w:t>
      </w:r>
    </w:p>
    <w:tbl>
      <w:tblPr>
        <w:tblStyle w:val="7"/>
        <w:tblW w:w="8585" w:type="dxa"/>
        <w:jc w:val="center"/>
        <w:tblInd w:w="0" w:type="dxa"/>
        <w:tblLayout w:type="fixed"/>
        <w:tblCellMar>
          <w:top w:w="0" w:type="dxa"/>
          <w:left w:w="108" w:type="dxa"/>
          <w:bottom w:w="0" w:type="dxa"/>
          <w:right w:w="108" w:type="dxa"/>
        </w:tblCellMar>
      </w:tblPr>
      <w:tblGrid>
        <w:gridCol w:w="934"/>
        <w:gridCol w:w="1701"/>
        <w:gridCol w:w="5950"/>
      </w:tblGrid>
      <w:tr>
        <w:tblPrEx>
          <w:tblLayout w:type="fixed"/>
          <w:tblCellMar>
            <w:top w:w="0" w:type="dxa"/>
            <w:left w:w="108" w:type="dxa"/>
            <w:bottom w:w="0" w:type="dxa"/>
            <w:right w:w="108" w:type="dxa"/>
          </w:tblCellMar>
        </w:tblPrEx>
        <w:trPr>
          <w:trHeight w:val="433" w:hRule="atLeast"/>
          <w:jc w:val="center"/>
        </w:trPr>
        <w:tc>
          <w:tcPr>
            <w:tcW w:w="934" w:type="dxa"/>
            <w:tcBorders>
              <w:top w:val="single" w:color="auto" w:sz="12" w:space="0"/>
              <w:left w:val="nil"/>
              <w:bottom w:val="single" w:color="auto" w:sz="12" w:space="0"/>
              <w:right w:val="single" w:color="auto" w:sz="4" w:space="0"/>
            </w:tcBorders>
            <w:shd w:val="clear" w:color="auto" w:fill="D9D9D9"/>
            <w:vAlign w:val="center"/>
          </w:tcPr>
          <w:p>
            <w:pPr>
              <w:spacing w:after="0"/>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阶段</w:t>
            </w:r>
          </w:p>
        </w:tc>
        <w:tc>
          <w:tcPr>
            <w:tcW w:w="1701" w:type="dxa"/>
            <w:tcBorders>
              <w:top w:val="single" w:color="auto" w:sz="12" w:space="0"/>
              <w:left w:val="nil"/>
              <w:bottom w:val="single" w:color="auto" w:sz="12" w:space="0"/>
              <w:right w:val="single" w:color="auto" w:sz="4" w:space="0"/>
            </w:tcBorders>
            <w:shd w:val="clear" w:color="auto" w:fill="D9D9D9"/>
            <w:vAlign w:val="center"/>
          </w:tcPr>
          <w:p>
            <w:pPr>
              <w:spacing w:after="0"/>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时间安排</w:t>
            </w:r>
          </w:p>
        </w:tc>
        <w:tc>
          <w:tcPr>
            <w:tcW w:w="5950" w:type="dxa"/>
            <w:tcBorders>
              <w:top w:val="single" w:color="auto" w:sz="12" w:space="0"/>
              <w:left w:val="nil"/>
              <w:bottom w:val="single" w:color="auto" w:sz="12" w:space="0"/>
              <w:right w:val="nil"/>
            </w:tcBorders>
            <w:shd w:val="clear" w:color="auto" w:fill="D9D9D9"/>
            <w:vAlign w:val="center"/>
          </w:tcPr>
          <w:p>
            <w:pPr>
              <w:spacing w:after="0"/>
              <w:jc w:val="center"/>
              <w:rPr>
                <w:rFonts w:ascii="微软雅黑" w:hAnsi="微软雅黑" w:eastAsia="微软雅黑" w:cs="宋体"/>
                <w:b/>
                <w:bCs/>
                <w:kern w:val="0"/>
                <w:sz w:val="20"/>
                <w:szCs w:val="20"/>
              </w:rPr>
            </w:pPr>
            <w:r>
              <w:rPr>
                <w:rFonts w:hint="eastAsia" w:ascii="微软雅黑" w:hAnsi="微软雅黑" w:eastAsia="微软雅黑" w:cs="宋体"/>
                <w:b/>
                <w:bCs/>
                <w:kern w:val="0"/>
                <w:sz w:val="20"/>
                <w:szCs w:val="20"/>
              </w:rPr>
              <w:t>活动内容</w:t>
            </w:r>
          </w:p>
        </w:tc>
      </w:tr>
      <w:tr>
        <w:tblPrEx>
          <w:tblLayout w:type="fixed"/>
          <w:tblCellMar>
            <w:top w:w="0" w:type="dxa"/>
            <w:left w:w="108" w:type="dxa"/>
            <w:bottom w:w="0" w:type="dxa"/>
            <w:right w:w="108" w:type="dxa"/>
          </w:tblCellMar>
        </w:tblPrEx>
        <w:trPr>
          <w:trHeight w:val="1042" w:hRule="atLeast"/>
          <w:jc w:val="center"/>
        </w:trPr>
        <w:tc>
          <w:tcPr>
            <w:tcW w:w="934" w:type="dxa"/>
            <w:tcBorders>
              <w:top w:val="single" w:color="auto" w:sz="12"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启动</w:t>
            </w:r>
          </w:p>
        </w:tc>
        <w:tc>
          <w:tcPr>
            <w:tcW w:w="1701" w:type="dxa"/>
            <w:tcBorders>
              <w:top w:val="single" w:color="auto" w:sz="12"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4月7日</w:t>
            </w:r>
          </w:p>
        </w:tc>
        <w:tc>
          <w:tcPr>
            <w:tcW w:w="5950" w:type="dxa"/>
            <w:tcBorders>
              <w:top w:val="single" w:color="auto" w:sz="12" w:space="0"/>
              <w:left w:val="nil"/>
              <w:bottom w:val="double" w:color="auto" w:sz="4" w:space="0"/>
              <w:right w:val="nil"/>
            </w:tcBorders>
            <w:vAlign w:val="center"/>
          </w:tcPr>
          <w:p>
            <w:pPr>
              <w:spacing w:after="0" w:line="400" w:lineRule="exact"/>
              <w:ind w:left="300" w:hanging="300" w:hangingChars="150"/>
              <w:rPr>
                <w:rFonts w:ascii="微软雅黑" w:hAnsi="微软雅黑" w:eastAsia="微软雅黑" w:cs="宋体"/>
                <w:kern w:val="0"/>
                <w:sz w:val="20"/>
                <w:szCs w:val="20"/>
              </w:rPr>
            </w:pPr>
            <w:r>
              <w:rPr>
                <w:rFonts w:hint="eastAsia" w:ascii="微软雅黑" w:hAnsi="微软雅黑" w:eastAsia="微软雅黑" w:cs="宋体"/>
                <w:kern w:val="0"/>
                <w:sz w:val="20"/>
                <w:szCs w:val="20"/>
              </w:rPr>
              <w:t>1. 在吉林大学珠海学院举行大赛启动仪式，邀请领导嘉宾、高校师生代表及主流媒体出席。</w:t>
            </w:r>
          </w:p>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2. 启动仪式后立即进行大赛操作与指导老师培训。</w:t>
            </w:r>
          </w:p>
        </w:tc>
      </w:tr>
      <w:tr>
        <w:tblPrEx>
          <w:tblLayout w:type="fixed"/>
          <w:tblCellMar>
            <w:top w:w="0" w:type="dxa"/>
            <w:left w:w="108" w:type="dxa"/>
            <w:bottom w:w="0" w:type="dxa"/>
            <w:right w:w="108" w:type="dxa"/>
          </w:tblCellMar>
        </w:tblPrEx>
        <w:trPr>
          <w:trHeight w:val="538" w:hRule="atLeast"/>
          <w:jc w:val="center"/>
        </w:trPr>
        <w:tc>
          <w:tcPr>
            <w:tcW w:w="934" w:type="dxa"/>
            <w:tcBorders>
              <w:top w:val="single" w:color="auto" w:sz="12"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讲座</w:t>
            </w:r>
          </w:p>
        </w:tc>
        <w:tc>
          <w:tcPr>
            <w:tcW w:w="1701" w:type="dxa"/>
            <w:tcBorders>
              <w:top w:val="single" w:color="auto" w:sz="12"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4月-5月</w:t>
            </w:r>
          </w:p>
        </w:tc>
        <w:tc>
          <w:tcPr>
            <w:tcW w:w="5950" w:type="dxa"/>
            <w:tcBorders>
              <w:top w:val="single" w:color="auto" w:sz="12" w:space="0"/>
              <w:left w:val="nil"/>
              <w:bottom w:val="double" w:color="auto" w:sz="4" w:space="0"/>
              <w:right w:val="nil"/>
            </w:tcBorders>
            <w:vAlign w:val="center"/>
          </w:tcPr>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围绕大赛主题，在高校组织约20场巡回讲座。</w:t>
            </w:r>
          </w:p>
        </w:tc>
      </w:tr>
      <w:tr>
        <w:tblPrEx>
          <w:tblLayout w:type="fixed"/>
          <w:tblCellMar>
            <w:top w:w="0" w:type="dxa"/>
            <w:left w:w="108" w:type="dxa"/>
            <w:bottom w:w="0" w:type="dxa"/>
            <w:right w:w="108" w:type="dxa"/>
          </w:tblCellMar>
        </w:tblPrEx>
        <w:trPr>
          <w:trHeight w:val="586" w:hRule="atLeast"/>
          <w:jc w:val="center"/>
        </w:trPr>
        <w:tc>
          <w:tcPr>
            <w:tcW w:w="934" w:type="dxa"/>
            <w:tcBorders>
              <w:top w:val="single" w:color="auto" w:sz="12"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报名</w:t>
            </w:r>
          </w:p>
        </w:tc>
        <w:tc>
          <w:tcPr>
            <w:tcW w:w="1701" w:type="dxa"/>
            <w:tcBorders>
              <w:top w:val="single" w:color="auto" w:sz="12"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4月30日前</w:t>
            </w:r>
          </w:p>
        </w:tc>
        <w:tc>
          <w:tcPr>
            <w:tcW w:w="5950" w:type="dxa"/>
            <w:tcBorders>
              <w:top w:val="single" w:color="auto" w:sz="12" w:space="0"/>
              <w:left w:val="nil"/>
              <w:bottom w:val="double" w:color="auto" w:sz="4" w:space="0"/>
              <w:right w:val="nil"/>
            </w:tcBorders>
            <w:vAlign w:val="center"/>
          </w:tcPr>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学生在“大学生就业在线”和广东省大学生就业创业系统平台“青聘果APP”上进行报名，并按要求提交相关材料。</w:t>
            </w:r>
          </w:p>
        </w:tc>
      </w:tr>
      <w:tr>
        <w:tblPrEx>
          <w:tblLayout w:type="fixed"/>
          <w:tblCellMar>
            <w:top w:w="0" w:type="dxa"/>
            <w:left w:w="108" w:type="dxa"/>
            <w:bottom w:w="0" w:type="dxa"/>
            <w:right w:w="108" w:type="dxa"/>
          </w:tblCellMar>
        </w:tblPrEx>
        <w:trPr>
          <w:trHeight w:val="770" w:hRule="atLeast"/>
          <w:jc w:val="center"/>
        </w:trPr>
        <w:tc>
          <w:tcPr>
            <w:tcW w:w="934"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校赛</w:t>
            </w:r>
          </w:p>
        </w:tc>
        <w:tc>
          <w:tcPr>
            <w:tcW w:w="1701"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5月上旬</w:t>
            </w:r>
          </w:p>
        </w:tc>
        <w:tc>
          <w:tcPr>
            <w:tcW w:w="5950" w:type="dxa"/>
            <w:tcBorders>
              <w:top w:val="double" w:color="auto" w:sz="4" w:space="0"/>
              <w:left w:val="nil"/>
              <w:bottom w:val="double" w:color="auto" w:sz="4" w:space="0"/>
              <w:right w:val="nil"/>
            </w:tcBorders>
            <w:vAlign w:val="center"/>
          </w:tcPr>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1. 各校自行举办校级赛事，评出优秀选手。</w:t>
            </w:r>
          </w:p>
          <w:p>
            <w:pPr>
              <w:spacing w:after="0" w:line="400" w:lineRule="exact"/>
              <w:ind w:left="300" w:hanging="300" w:hangingChars="150"/>
              <w:rPr>
                <w:rFonts w:ascii="微软雅黑" w:hAnsi="微软雅黑" w:eastAsia="微软雅黑" w:cs="宋体"/>
                <w:kern w:val="0"/>
                <w:sz w:val="20"/>
                <w:szCs w:val="20"/>
              </w:rPr>
            </w:pPr>
            <w:r>
              <w:rPr>
                <w:rFonts w:hint="eastAsia" w:ascii="微软雅黑" w:hAnsi="微软雅黑" w:eastAsia="微软雅黑" w:cs="宋体"/>
                <w:kern w:val="0"/>
                <w:sz w:val="20"/>
                <w:szCs w:val="20"/>
              </w:rPr>
              <w:t>2. 每校按省赛组委会分配名额，推荐不超3名优秀选手晋级省初赛。</w:t>
            </w:r>
          </w:p>
        </w:tc>
      </w:tr>
      <w:tr>
        <w:tblPrEx>
          <w:tblLayout w:type="fixed"/>
          <w:tblCellMar>
            <w:top w:w="0" w:type="dxa"/>
            <w:left w:w="108" w:type="dxa"/>
            <w:bottom w:w="0" w:type="dxa"/>
            <w:right w:w="108" w:type="dxa"/>
          </w:tblCellMar>
        </w:tblPrEx>
        <w:trPr>
          <w:trHeight w:val="1049" w:hRule="atLeast"/>
          <w:jc w:val="center"/>
        </w:trPr>
        <w:tc>
          <w:tcPr>
            <w:tcW w:w="934"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初赛</w:t>
            </w:r>
          </w:p>
        </w:tc>
        <w:tc>
          <w:tcPr>
            <w:tcW w:w="1701"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5月中旬</w:t>
            </w:r>
          </w:p>
        </w:tc>
        <w:tc>
          <w:tcPr>
            <w:tcW w:w="5950" w:type="dxa"/>
            <w:tcBorders>
              <w:top w:val="double" w:color="auto" w:sz="4" w:space="0"/>
              <w:left w:val="nil"/>
              <w:bottom w:val="double" w:color="auto" w:sz="4" w:space="0"/>
              <w:right w:val="nil"/>
            </w:tcBorders>
            <w:vAlign w:val="center"/>
          </w:tcPr>
          <w:p>
            <w:pPr>
              <w:spacing w:after="0" w:line="400" w:lineRule="exact"/>
              <w:ind w:left="300" w:hanging="300" w:hangingChars="150"/>
              <w:rPr>
                <w:rFonts w:ascii="宋体" w:hAnsi="宋体"/>
                <w:sz w:val="18"/>
                <w:szCs w:val="18"/>
              </w:rPr>
            </w:pPr>
            <w:r>
              <w:rPr>
                <w:rFonts w:hint="eastAsia" w:ascii="微软雅黑" w:hAnsi="微软雅黑" w:eastAsia="微软雅黑" w:cs="宋体"/>
                <w:kern w:val="0"/>
                <w:sz w:val="20"/>
                <w:szCs w:val="20"/>
              </w:rPr>
              <w:t>1. 邀请专家对省初赛选手的材料进行评审，选拔本科、高职组各40人进入赛前培训及复赛</w:t>
            </w:r>
            <w:r>
              <w:rPr>
                <w:rFonts w:hint="eastAsia" w:ascii="宋体" w:hAnsi="宋体"/>
                <w:sz w:val="18"/>
                <w:szCs w:val="18"/>
              </w:rPr>
              <w:t>。</w:t>
            </w:r>
          </w:p>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2. 开启投票通道，从各组40人评选出最佳人气选手。</w:t>
            </w:r>
          </w:p>
        </w:tc>
      </w:tr>
      <w:tr>
        <w:tblPrEx>
          <w:tblLayout w:type="fixed"/>
          <w:tblCellMar>
            <w:top w:w="0" w:type="dxa"/>
            <w:left w:w="108" w:type="dxa"/>
            <w:bottom w:w="0" w:type="dxa"/>
            <w:right w:w="108" w:type="dxa"/>
          </w:tblCellMar>
        </w:tblPrEx>
        <w:trPr>
          <w:trHeight w:val="1449" w:hRule="atLeast"/>
          <w:jc w:val="center"/>
        </w:trPr>
        <w:tc>
          <w:tcPr>
            <w:tcW w:w="934"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培训</w:t>
            </w:r>
          </w:p>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及复赛</w:t>
            </w:r>
          </w:p>
        </w:tc>
        <w:tc>
          <w:tcPr>
            <w:tcW w:w="1701"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5月18</w:t>
            </w:r>
          </w:p>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--21日</w:t>
            </w:r>
          </w:p>
        </w:tc>
        <w:tc>
          <w:tcPr>
            <w:tcW w:w="5950" w:type="dxa"/>
            <w:tcBorders>
              <w:top w:val="double" w:color="auto" w:sz="4" w:space="0"/>
              <w:left w:val="nil"/>
              <w:bottom w:val="double" w:color="auto" w:sz="4" w:space="0"/>
              <w:right w:val="nil"/>
            </w:tcBorders>
            <w:vAlign w:val="center"/>
          </w:tcPr>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br w:type="page"/>
            </w:r>
            <w:r>
              <w:rPr>
                <w:rFonts w:hint="eastAsia" w:ascii="微软雅黑" w:hAnsi="微软雅黑" w:eastAsia="微软雅黑" w:cs="宋体"/>
                <w:kern w:val="0"/>
                <w:sz w:val="20"/>
                <w:szCs w:val="20"/>
              </w:rPr>
              <w:t>1. 各组40人集中在华南农业大学进行赛前指导、培训及复赛。</w:t>
            </w:r>
          </w:p>
          <w:p>
            <w:pPr>
              <w:spacing w:after="0" w:line="400" w:lineRule="exact"/>
              <w:ind w:left="300" w:hanging="300" w:hangingChars="150"/>
              <w:rPr>
                <w:rFonts w:ascii="微软雅黑" w:hAnsi="微软雅黑" w:eastAsia="微软雅黑" w:cs="宋体"/>
                <w:kern w:val="0"/>
                <w:sz w:val="20"/>
                <w:szCs w:val="20"/>
              </w:rPr>
            </w:pPr>
            <w:r>
              <w:rPr>
                <w:rFonts w:hint="eastAsia" w:ascii="微软雅黑" w:hAnsi="微软雅黑" w:eastAsia="微软雅黑" w:cs="宋体"/>
                <w:kern w:val="0"/>
                <w:sz w:val="20"/>
                <w:szCs w:val="20"/>
              </w:rPr>
              <w:t>2. 培训结束后考核，综合排名在各组前20名的选手进入省决赛。未晋级省决赛的各组另20位选手获大赛三等奖。</w:t>
            </w:r>
          </w:p>
        </w:tc>
      </w:tr>
      <w:tr>
        <w:tblPrEx>
          <w:tblLayout w:type="fixed"/>
          <w:tblCellMar>
            <w:top w:w="0" w:type="dxa"/>
            <w:left w:w="108" w:type="dxa"/>
            <w:bottom w:w="0" w:type="dxa"/>
            <w:right w:w="108" w:type="dxa"/>
          </w:tblCellMar>
        </w:tblPrEx>
        <w:trPr>
          <w:trHeight w:val="985" w:hRule="atLeast"/>
          <w:jc w:val="center"/>
        </w:trPr>
        <w:tc>
          <w:tcPr>
            <w:tcW w:w="934"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决赛</w:t>
            </w:r>
          </w:p>
        </w:tc>
        <w:tc>
          <w:tcPr>
            <w:tcW w:w="1701" w:type="dxa"/>
            <w:tcBorders>
              <w:top w:val="double" w:color="auto" w:sz="4" w:space="0"/>
              <w:left w:val="nil"/>
              <w:bottom w:val="double" w:color="auto" w:sz="4"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6月上旬</w:t>
            </w:r>
          </w:p>
        </w:tc>
        <w:tc>
          <w:tcPr>
            <w:tcW w:w="5950" w:type="dxa"/>
            <w:tcBorders>
              <w:top w:val="double" w:color="auto" w:sz="4" w:space="0"/>
              <w:left w:val="nil"/>
              <w:bottom w:val="double" w:color="auto" w:sz="4" w:space="0"/>
              <w:right w:val="nil"/>
            </w:tcBorders>
            <w:vAlign w:val="center"/>
          </w:tcPr>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1. 在吉林大学珠海学院举行省决赛。</w:t>
            </w:r>
          </w:p>
          <w:p>
            <w:pPr>
              <w:spacing w:after="0" w:line="400" w:lineRule="exact"/>
              <w:ind w:left="300" w:hanging="300" w:hangingChars="150"/>
              <w:rPr>
                <w:rFonts w:ascii="微软雅黑" w:hAnsi="微软雅黑" w:eastAsia="微软雅黑" w:cs="宋体"/>
                <w:kern w:val="0"/>
                <w:sz w:val="20"/>
                <w:szCs w:val="20"/>
              </w:rPr>
            </w:pPr>
            <w:r>
              <w:rPr>
                <w:rFonts w:hint="eastAsia" w:ascii="微软雅黑" w:hAnsi="微软雅黑" w:eastAsia="微软雅黑" w:cs="宋体"/>
                <w:kern w:val="0"/>
                <w:sz w:val="20"/>
                <w:szCs w:val="20"/>
              </w:rPr>
              <w:t>2. 通过现场展示（PPT+答疑）、情景模拟等环节，评选出各组“十佳规划之星”及二等奖选手。</w:t>
            </w:r>
          </w:p>
        </w:tc>
      </w:tr>
      <w:tr>
        <w:tblPrEx>
          <w:tblLayout w:type="fixed"/>
          <w:tblCellMar>
            <w:top w:w="0" w:type="dxa"/>
            <w:left w:w="108" w:type="dxa"/>
            <w:bottom w:w="0" w:type="dxa"/>
            <w:right w:w="108" w:type="dxa"/>
          </w:tblCellMar>
        </w:tblPrEx>
        <w:trPr>
          <w:trHeight w:val="816" w:hRule="atLeast"/>
          <w:jc w:val="center"/>
        </w:trPr>
        <w:tc>
          <w:tcPr>
            <w:tcW w:w="934" w:type="dxa"/>
            <w:tcBorders>
              <w:top w:val="double" w:color="auto" w:sz="4" w:space="0"/>
              <w:left w:val="nil"/>
              <w:bottom w:val="single" w:color="auto" w:sz="12"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颁奖</w:t>
            </w:r>
          </w:p>
        </w:tc>
        <w:tc>
          <w:tcPr>
            <w:tcW w:w="1701" w:type="dxa"/>
            <w:tcBorders>
              <w:top w:val="double" w:color="auto" w:sz="4" w:space="0"/>
              <w:left w:val="nil"/>
              <w:bottom w:val="single" w:color="auto" w:sz="12" w:space="0"/>
              <w:right w:val="single" w:color="auto" w:sz="4" w:space="0"/>
            </w:tcBorders>
            <w:vAlign w:val="center"/>
          </w:tcPr>
          <w:p>
            <w:pPr>
              <w:spacing w:after="0" w:line="240" w:lineRule="auto"/>
              <w:jc w:val="center"/>
              <w:rPr>
                <w:rFonts w:ascii="微软雅黑" w:hAnsi="微软雅黑" w:eastAsia="微软雅黑" w:cs="宋体"/>
                <w:kern w:val="0"/>
                <w:sz w:val="20"/>
                <w:szCs w:val="20"/>
              </w:rPr>
            </w:pPr>
            <w:r>
              <w:rPr>
                <w:rFonts w:hint="eastAsia" w:ascii="微软雅黑" w:hAnsi="微软雅黑" w:eastAsia="微软雅黑" w:cs="宋体"/>
                <w:kern w:val="0"/>
                <w:sz w:val="20"/>
                <w:szCs w:val="20"/>
              </w:rPr>
              <w:t>6月上旬</w:t>
            </w:r>
          </w:p>
        </w:tc>
        <w:tc>
          <w:tcPr>
            <w:tcW w:w="5950" w:type="dxa"/>
            <w:tcBorders>
              <w:top w:val="double" w:color="auto" w:sz="4" w:space="0"/>
              <w:left w:val="nil"/>
              <w:bottom w:val="single" w:color="auto" w:sz="12" w:space="0"/>
              <w:right w:val="nil"/>
            </w:tcBorders>
            <w:vAlign w:val="center"/>
          </w:tcPr>
          <w:p>
            <w:pPr>
              <w:spacing w:after="0" w:line="400" w:lineRule="exact"/>
              <w:rPr>
                <w:rFonts w:ascii="微软雅黑" w:hAnsi="微软雅黑" w:eastAsia="微软雅黑" w:cs="宋体"/>
                <w:kern w:val="0"/>
                <w:sz w:val="20"/>
                <w:szCs w:val="20"/>
              </w:rPr>
            </w:pPr>
            <w:r>
              <w:rPr>
                <w:rFonts w:hint="eastAsia" w:ascii="微软雅黑" w:hAnsi="微软雅黑" w:eastAsia="微软雅黑" w:cs="宋体"/>
                <w:kern w:val="0"/>
                <w:sz w:val="20"/>
                <w:szCs w:val="20"/>
              </w:rPr>
              <w:t>在吉林大学珠海学院举行颁奖仪式，邀请领导嘉宾、获奖师生及主流媒体出席。</w:t>
            </w:r>
          </w:p>
        </w:tc>
      </w:tr>
    </w:tbl>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五、启动仪式</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本届大赛启动仪式于2017年4月7日10:00在吉林大学珠海学院音乐厅举行，随即进行大赛指导老师培训。请各高校就业创业指导工作部门主要负责人1人、本次大赛负责人1人和指导老师1人出席启动仪式及培训，参会人员回执（附件2）于3月30日前发送至电子邮箱：dxs_jyzd@126.com。</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六、联系与咨询</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1.赛事接待</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吉林大学珠海学院：肖</w:t>
      </w:r>
      <w:r>
        <w:rPr>
          <w:rFonts w:hint="eastAsia" w:ascii="宋体" w:hAnsi="宋体" w:cs="宋体"/>
          <w:sz w:val="32"/>
          <w:szCs w:val="32"/>
        </w:rPr>
        <w:t>祎</w:t>
      </w:r>
      <w:r>
        <w:rPr>
          <w:rFonts w:hint="eastAsia" w:ascii="仿宋_GB2312" w:hAnsi="仿宋_GB2312" w:eastAsia="仿宋_GB2312" w:cs="仿宋_GB2312"/>
          <w:sz w:val="32"/>
          <w:szCs w:val="32"/>
        </w:rPr>
        <w:t>；</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电话：0756-7629309。</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2.赛程咨询</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广东省高等学校毕业生就业促进会：林秀玲；</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 xml:space="preserve">电话：020-37626351 、37627880（传真）； </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QQ ：21081738。</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3.大赛组织</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广东省高等学校毕业生就业指导中心：吴小明、蔡俊华；</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电话：020-37628812、37626415。</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4.大赛工作QQ群</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群号：311465993。</w:t>
      </w:r>
    </w:p>
    <w:p>
      <w:pPr>
        <w:rPr>
          <w:rFonts w:ascii="仿宋_GB2312" w:hAnsi="黑体" w:eastAsia="仿宋_GB2312"/>
          <w:sz w:val="32"/>
          <w:szCs w:val="32"/>
        </w:rPr>
      </w:pPr>
    </w:p>
    <w:p>
      <w:pPr>
        <w:spacing w:after="0" w:line="500" w:lineRule="exact"/>
        <w:ind w:left="1991" w:leftChars="228" w:hanging="1512" w:hangingChars="450"/>
        <w:rPr>
          <w:rFonts w:ascii="仿宋_GB2312" w:hAnsi="Calibri" w:eastAsia="仿宋_GB2312"/>
          <w:sz w:val="32"/>
          <w:szCs w:val="32"/>
        </w:rPr>
      </w:pPr>
      <w:r>
        <w:rPr>
          <w:rFonts w:hint="eastAsia" w:ascii="仿宋_GB2312" w:hAnsi="Calibri" w:eastAsia="仿宋_GB2312"/>
          <w:sz w:val="32"/>
          <w:szCs w:val="32"/>
        </w:rPr>
        <w:t>附件：1.“金湾杯”第七届广东省大学生职业规划大赛比赛规程</w:t>
      </w:r>
    </w:p>
    <w:p>
      <w:pPr>
        <w:spacing w:after="0" w:line="500" w:lineRule="exact"/>
        <w:ind w:left="1940" w:leftChars="684" w:hanging="504" w:hangingChars="150"/>
        <w:rPr>
          <w:rFonts w:ascii="仿宋_GB2312" w:hAnsi="Calibri" w:eastAsia="仿宋_GB2312"/>
          <w:sz w:val="32"/>
          <w:szCs w:val="32"/>
        </w:rPr>
      </w:pPr>
      <w:r>
        <w:rPr>
          <w:rFonts w:hint="eastAsia" w:ascii="仿宋_GB2312" w:hAnsi="Calibri" w:eastAsia="仿宋_GB2312"/>
          <w:sz w:val="32"/>
          <w:szCs w:val="32"/>
        </w:rPr>
        <w:t>2.“金湾杯”第七届广东省大学生职业规划大赛启动仪式及指导老师培训参加人员回执</w:t>
      </w:r>
    </w:p>
    <w:p>
      <w:pPr>
        <w:spacing w:after="0" w:line="500" w:lineRule="exact"/>
        <w:rPr>
          <w:rFonts w:ascii="仿宋_GB2312" w:hAnsi="Calibri" w:eastAsia="仿宋_GB2312"/>
          <w:sz w:val="32"/>
          <w:szCs w:val="32"/>
        </w:rPr>
      </w:pPr>
      <w:r>
        <w:rPr>
          <w:rFonts w:hint="eastAsia" w:ascii="仿宋_GB2312" w:hAnsi="Calibri" w:eastAsia="仿宋_GB2312"/>
          <w:sz w:val="32"/>
          <w:szCs w:val="32"/>
        </w:rPr>
        <w:t xml:space="preserve">                                 </w:t>
      </w:r>
    </w:p>
    <w:p>
      <w:pPr>
        <w:spacing w:after="0" w:line="500" w:lineRule="exact"/>
        <w:ind w:firstLine="5711" w:firstLineChars="1700"/>
        <w:rPr>
          <w:rFonts w:ascii="仿宋_GB2312" w:hAnsi="Calibri" w:eastAsia="仿宋_GB2312"/>
          <w:sz w:val="32"/>
          <w:szCs w:val="32"/>
        </w:rPr>
      </w:pPr>
    </w:p>
    <w:p>
      <w:pPr>
        <w:spacing w:after="0" w:line="500" w:lineRule="exact"/>
        <w:ind w:firstLine="5711" w:firstLineChars="1700"/>
        <w:rPr>
          <w:rFonts w:ascii="仿宋_GB2312" w:hAnsi="Calibri" w:eastAsia="仿宋_GB2312"/>
          <w:sz w:val="32"/>
          <w:szCs w:val="32"/>
        </w:rPr>
      </w:pPr>
      <w:r>
        <w:rPr>
          <w:rFonts w:hint="eastAsia" w:ascii="仿宋_GB2312" w:hAnsi="Calibri" w:eastAsia="仿宋_GB2312"/>
          <w:sz w:val="32"/>
          <w:szCs w:val="32"/>
        </w:rPr>
        <w:t>广东省教育厅</w:t>
      </w:r>
    </w:p>
    <w:p>
      <w:pPr>
        <w:spacing w:after="0" w:line="500" w:lineRule="exact"/>
        <w:rPr>
          <w:rFonts w:ascii="仿宋_GB2312" w:hAnsi="Calibri" w:eastAsia="仿宋_GB2312"/>
          <w:sz w:val="32"/>
          <w:szCs w:val="32"/>
        </w:rPr>
      </w:pPr>
      <w:r>
        <w:rPr>
          <w:rFonts w:hint="eastAsia" w:ascii="仿宋_GB2312" w:hAnsi="Calibri" w:eastAsia="仿宋_GB2312"/>
          <w:sz w:val="32"/>
          <w:szCs w:val="32"/>
        </w:rPr>
        <w:t xml:space="preserve">                                2017年3月21 日</w:t>
      </w:r>
    </w:p>
    <w:p>
      <w:pPr>
        <w:rPr>
          <w:rFonts w:ascii="仿宋_GB2312" w:hAnsi="Calibri" w:eastAsia="仿宋_GB2312"/>
          <w:sz w:val="32"/>
          <w:szCs w:val="32"/>
        </w:rPr>
      </w:pPr>
    </w:p>
    <w:p>
      <w:pPr>
        <w:rPr>
          <w:rFonts w:ascii="方正小标宋简体" w:hAnsi="宋体" w:eastAsia="方正小标宋简体"/>
          <w:color w:val="000000"/>
          <w:sz w:val="36"/>
          <w:szCs w:val="36"/>
        </w:rPr>
      </w:pPr>
      <w:r>
        <w:rPr>
          <w:rFonts w:hint="eastAsia" w:ascii="仿宋_GB2312" w:hAnsi="Calibri" w:eastAsia="仿宋_GB2312"/>
          <w:sz w:val="32"/>
          <w:szCs w:val="32"/>
        </w:rPr>
        <w:t>附件1</w:t>
      </w:r>
    </w:p>
    <w:p>
      <w:pPr>
        <w:spacing w:after="0" w:line="640" w:lineRule="exact"/>
        <w:jc w:val="center"/>
        <w:rPr>
          <w:rFonts w:hint="eastAsia" w:ascii="方正小标宋简体" w:hAnsi="宋体" w:eastAsia="方正小标宋简体"/>
          <w:b/>
          <w:sz w:val="44"/>
          <w:szCs w:val="44"/>
        </w:rPr>
      </w:pPr>
      <w:r>
        <w:rPr>
          <w:rFonts w:hint="eastAsia" w:ascii="方正小标宋简体" w:hAnsi="宋体" w:eastAsia="方正小标宋简体"/>
          <w:b/>
          <w:sz w:val="44"/>
          <w:szCs w:val="44"/>
        </w:rPr>
        <w:t xml:space="preserve">“金湾杯”第七届广东省大学生         </w:t>
      </w:r>
    </w:p>
    <w:p>
      <w:pPr>
        <w:spacing w:after="0" w:line="640" w:lineRule="exact"/>
        <w:jc w:val="center"/>
        <w:rPr>
          <w:rFonts w:ascii="方正小标宋简体" w:hAnsi="宋体" w:eastAsia="方正小标宋简体"/>
          <w:b/>
          <w:sz w:val="44"/>
          <w:szCs w:val="44"/>
        </w:rPr>
      </w:pPr>
      <w:r>
        <w:rPr>
          <w:rFonts w:hint="eastAsia" w:ascii="方正小标宋简体" w:hAnsi="宋体" w:eastAsia="方正小标宋简体"/>
          <w:b/>
          <w:sz w:val="44"/>
          <w:szCs w:val="44"/>
        </w:rPr>
        <w:t>职业规划大赛比赛规程</w:t>
      </w:r>
    </w:p>
    <w:p>
      <w:pPr>
        <w:spacing w:after="0" w:line="640" w:lineRule="exact"/>
        <w:jc w:val="center"/>
        <w:rPr>
          <w:rFonts w:ascii="方正小标宋简体" w:hAnsi="宋体" w:eastAsia="方正小标宋简体"/>
          <w:b/>
          <w:sz w:val="44"/>
          <w:szCs w:val="44"/>
        </w:rPr>
      </w:pP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一、大赛主题</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规划当下，赢取未来。</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二、大赛目的</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通过比赛的形式，传播和普及职业规划理念，引领和示范职业规划实践，唤醒大学生就业自助意识，提升大学生职业素质与就业能力，促进高校毕业生就业工作的深入开展。</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三、大赛时间</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2017年4月至2017年6月。</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四、组织机构</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主办单位：广东省教育厅。</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承办单位：珠海市金湾区人民政府、</w:t>
      </w:r>
    </w:p>
    <w:p>
      <w:pPr>
        <w:spacing w:after="0" w:line="560" w:lineRule="exact"/>
        <w:ind w:firstLine="2378" w:firstLineChars="708"/>
        <w:rPr>
          <w:rFonts w:ascii="仿宋_GB2312" w:hAnsi="Calibri" w:eastAsia="仿宋_GB2312"/>
          <w:sz w:val="32"/>
          <w:szCs w:val="32"/>
        </w:rPr>
      </w:pPr>
      <w:r>
        <w:rPr>
          <w:rFonts w:hint="eastAsia" w:ascii="仿宋_GB2312" w:hAnsi="Calibri" w:eastAsia="仿宋_GB2312"/>
          <w:sz w:val="32"/>
          <w:szCs w:val="32"/>
        </w:rPr>
        <w:t>吉林大学珠海学院、</w:t>
      </w:r>
    </w:p>
    <w:p>
      <w:pPr>
        <w:spacing w:after="0" w:line="560" w:lineRule="exact"/>
        <w:ind w:firstLine="2378" w:firstLineChars="708"/>
        <w:rPr>
          <w:rFonts w:ascii="仿宋_GB2312" w:hAnsi="Calibri" w:eastAsia="仿宋_GB2312"/>
          <w:sz w:val="32"/>
          <w:szCs w:val="32"/>
        </w:rPr>
      </w:pPr>
      <w:r>
        <w:rPr>
          <w:rFonts w:hint="eastAsia" w:ascii="仿宋_GB2312" w:hAnsi="Calibri" w:eastAsia="仿宋_GB2312"/>
          <w:sz w:val="32"/>
          <w:szCs w:val="32"/>
        </w:rPr>
        <w:t>广东省高等学校毕业生就业促进会、</w:t>
      </w:r>
    </w:p>
    <w:p>
      <w:pPr>
        <w:spacing w:after="0" w:line="560" w:lineRule="exact"/>
        <w:ind w:firstLine="2378" w:firstLineChars="708"/>
        <w:rPr>
          <w:rFonts w:ascii="仿宋_GB2312" w:hAnsi="Calibri" w:eastAsia="仿宋_GB2312"/>
          <w:sz w:val="32"/>
          <w:szCs w:val="32"/>
        </w:rPr>
      </w:pPr>
      <w:r>
        <w:rPr>
          <w:rFonts w:hint="eastAsia" w:ascii="仿宋_GB2312" w:hAnsi="Calibri" w:eastAsia="仿宋_GB2312"/>
          <w:sz w:val="32"/>
          <w:szCs w:val="32"/>
        </w:rPr>
        <w:t>广东省大学生创业就业促进会。</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培训单位：华南农业大学。</w:t>
      </w:r>
    </w:p>
    <w:p>
      <w:pPr>
        <w:wordWrap w:val="0"/>
        <w:spacing w:after="0" w:line="560" w:lineRule="exact"/>
        <w:ind w:left="2318" w:leftChars="304" w:hanging="1680" w:hangingChars="500"/>
        <w:rPr>
          <w:rFonts w:ascii="仿宋_GB2312" w:hAnsi="Calibri" w:eastAsia="仿宋_GB2312"/>
          <w:sz w:val="32"/>
          <w:szCs w:val="32"/>
        </w:rPr>
      </w:pPr>
      <w:r>
        <w:rPr>
          <w:rFonts w:hint="eastAsia" w:ascii="仿宋_GB2312" w:hAnsi="Calibri" w:eastAsia="仿宋_GB2312"/>
          <w:sz w:val="32"/>
          <w:szCs w:val="32"/>
        </w:rPr>
        <w:t>赛事平台：大学生就业在线（www.gradjob.com.cn）、广东省大学生就业创业系统平台（“青聘果APP”,http://www.qingpinwo.com ）。</w:t>
      </w:r>
    </w:p>
    <w:p>
      <w:pPr>
        <w:spacing w:after="0" w:line="560" w:lineRule="exact"/>
        <w:ind w:firstLine="640" w:firstLineChars="200"/>
        <w:rPr>
          <w:rFonts w:ascii="仿宋_GB2312" w:hAnsi="宋体" w:eastAsia="仿宋_GB2312"/>
          <w:b/>
          <w:color w:val="000000"/>
          <w:kern w:val="44"/>
          <w:sz w:val="32"/>
          <w:szCs w:val="32"/>
        </w:rPr>
      </w:pPr>
      <w:r>
        <w:rPr>
          <w:rFonts w:hint="eastAsia" w:ascii="黑体" w:hAnsi="黑体" w:eastAsia="黑体"/>
          <w:color w:val="000000"/>
          <w:kern w:val="0"/>
          <w:sz w:val="32"/>
          <w:szCs w:val="32"/>
        </w:rPr>
        <w:t>五、支持媒体</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广东电视台、南方电视台、广州电视台；南方日报、羊城晚报、广州日报、南方都市报、新快报等。</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六、参赛对象</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参赛选手须为广东省普通高等学校全日制在校生（包括本科生、专科生，不含研究生、在职生等），大赛设本科组和高职组两个组别分别进行评比。</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职业规划目标为创业的选手可以参赛，但仅按选手学历层次归组，重点考察规划思路与实践体验，而非以创业计划书为评比标的。</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七、比赛赛制</w:t>
      </w:r>
    </w:p>
    <w:p>
      <w:pPr>
        <w:spacing w:after="0" w:line="560" w:lineRule="exact"/>
        <w:ind w:firstLine="672" w:firstLineChars="200"/>
        <w:rPr>
          <w:rFonts w:ascii="仿宋_GB2312" w:hAnsi="Calibri" w:eastAsia="仿宋_GB2312"/>
          <w:sz w:val="32"/>
          <w:szCs w:val="32"/>
        </w:rPr>
      </w:pPr>
      <w:bookmarkStart w:id="0" w:name="_Toc129949754"/>
      <w:bookmarkStart w:id="1" w:name="_Toc129949753"/>
      <w:r>
        <w:rPr>
          <w:rFonts w:hint="eastAsia" w:ascii="仿宋_GB2312" w:hAnsi="Calibri" w:eastAsia="仿宋_GB2312"/>
          <w:sz w:val="32"/>
          <w:szCs w:val="32"/>
        </w:rPr>
        <w:t>大赛采用校赛、省初赛、省复赛、省决赛四级赛制。根据高校报名人数与作品提交数量所占比例确定晋级省初赛的名额分配方案（每校晋级省初赛名额最多不超过3人）；省初赛后，产生本科组、高职组各40位选手入围省复赛；通过培训及考核，省复赛产生本科组、高职组各20位选手入围省决赛；通过省决赛，评出各组选手相应奖项。</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八、赛程安排</w:t>
      </w:r>
    </w:p>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（一）参赛报名（4月30日前）</w:t>
      </w:r>
    </w:p>
    <w:p>
      <w:pPr>
        <w:wordWrap w:val="0"/>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参赛学生可通过登录大学生就业在线（www.gradjob.com.cn）或广东省大学生就业创业系统平台（“青聘果APP”,http://www.qingpinwo.com ）进行报名。各校报名截止时间可根据校赛安排自行决定，但不得晚于4月30日。选手可根据平台提供的模板填写简约版的职业规划作品，亦可在线下自由撰写完整的职业规划书，完成后的作品需通过报名平台按格式及大小要求进行上传。</w:t>
      </w:r>
    </w:p>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（二）校赛（5月3日前）</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各高校在5月3日前举办校级赛事，比赛环节、评审方式等由各校自行决定。根据省赛组委会分配名额，各校推荐优秀选手参加省初赛，所推荐的选手需于5月3日前在报名平台完成职业规划书的更新。</w:t>
      </w:r>
    </w:p>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（三）省初赛（5月上、中旬）</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组织专家对初赛选手的作品进行评审，择优选拔本科组、高职组各40人进入省复赛，并在余下选手中确定大赛优胜奖名单。同时，开启网上投票通道，从晋级省复赛的80人中（不分组别）评选出1名最佳人气选手。</w:t>
      </w:r>
    </w:p>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（四）省复赛（5月18-21日）</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进入省复赛的选手集中在华南农业大学进行赛前指导、培训，培训结束后进行考核，综合排名在各组前20名的选手入围省决赛。未晋级省决赛的各组后20位选手获大赛三等奖。</w:t>
      </w:r>
    </w:p>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（五）省决赛（6月上旬）</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在吉林大学珠海学院举行省决赛，通过现场展示（PPT+答疑）、情景模拟等环节，评选出各组特等奖、一等奖及二等奖的获奖选手。具体要求以大学生就业在线、“青聘果APP”</w:t>
      </w:r>
    </w:p>
    <w:p>
      <w:pPr>
        <w:spacing w:after="0" w:line="560" w:lineRule="exact"/>
        <w:rPr>
          <w:rFonts w:ascii="仿宋_GB2312" w:hAnsi="Calibri" w:eastAsia="仿宋_GB2312"/>
          <w:sz w:val="32"/>
          <w:szCs w:val="32"/>
        </w:rPr>
      </w:pPr>
      <w:r>
        <w:rPr>
          <w:rFonts w:hint="eastAsia" w:ascii="仿宋_GB2312" w:hAnsi="Calibri" w:eastAsia="仿宋_GB2312"/>
          <w:sz w:val="32"/>
          <w:szCs w:val="32"/>
        </w:rPr>
        <w:t>发布的最新信息为准，请高校及参赛选手密切留意和关注。</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九、省决赛评比规则</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省决赛包含3个竞赛环节：书面作品评比、现场PPT展示、情景模拟。以上3个环节所占的分值比例依次为50%、30%、20%，各环节得分总和为选手最终成绩，据此评出相应奖项。</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1.书面作品</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大赛作品以</w:t>
      </w:r>
      <w:r>
        <w:rPr>
          <w:rFonts w:hint="eastAsia" w:ascii="仿宋_GB2312" w:hAnsi="Calibri" w:eastAsia="仿宋_GB2312"/>
          <w:color w:val="C00000"/>
          <w:sz w:val="32"/>
          <w:szCs w:val="32"/>
        </w:rPr>
        <w:t>近期目标规划</w:t>
      </w:r>
      <w:r>
        <w:rPr>
          <w:rFonts w:hint="eastAsia" w:ascii="仿宋_GB2312" w:hAnsi="Calibri" w:eastAsia="仿宋_GB2312"/>
          <w:sz w:val="32"/>
          <w:szCs w:val="32"/>
        </w:rPr>
        <w:t>为主，即</w:t>
      </w:r>
      <w:r>
        <w:rPr>
          <w:rFonts w:hint="eastAsia" w:ascii="仿宋_GB2312" w:hAnsi="Calibri" w:eastAsia="仿宋_GB2312"/>
          <w:color w:val="C00000"/>
          <w:sz w:val="32"/>
          <w:szCs w:val="32"/>
        </w:rPr>
        <w:t>大学学业生涯规划</w:t>
      </w:r>
      <w:r>
        <w:rPr>
          <w:rFonts w:hint="eastAsia" w:ascii="仿宋_GB2312" w:hAnsi="Calibri" w:eastAsia="仿宋_GB2312"/>
          <w:sz w:val="32"/>
          <w:szCs w:val="32"/>
        </w:rPr>
        <w:t>和</w:t>
      </w:r>
      <w:r>
        <w:rPr>
          <w:rFonts w:hint="eastAsia" w:ascii="仿宋_GB2312" w:hAnsi="Calibri" w:eastAsia="仿宋_GB2312"/>
          <w:color w:val="C00000"/>
          <w:sz w:val="32"/>
          <w:szCs w:val="32"/>
        </w:rPr>
        <w:t>毕业后3年内的职业生涯规划</w:t>
      </w:r>
      <w:r>
        <w:rPr>
          <w:rFonts w:hint="eastAsia" w:ascii="仿宋_GB2312" w:hAnsi="Calibri" w:eastAsia="仿宋_GB2312"/>
          <w:sz w:val="32"/>
          <w:szCs w:val="32"/>
        </w:rPr>
        <w:t>。</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书面作品需包含</w:t>
      </w:r>
      <w:r>
        <w:rPr>
          <w:rFonts w:hint="eastAsia" w:ascii="仿宋_GB2312" w:hAnsi="Calibri" w:eastAsia="仿宋_GB2312"/>
          <w:color w:val="C00000"/>
          <w:sz w:val="32"/>
          <w:szCs w:val="32"/>
        </w:rPr>
        <w:t>自我认知、职业认知、目标确立、计划实施与反馈修正</w:t>
      </w:r>
      <w:r>
        <w:rPr>
          <w:rFonts w:hint="eastAsia" w:ascii="仿宋_GB2312" w:hAnsi="Calibri" w:eastAsia="仿宋_GB2312"/>
          <w:sz w:val="32"/>
          <w:szCs w:val="32"/>
        </w:rPr>
        <w:t>5个方面的完整内容。其中：自我认知部分，不指定职业测评系统，推荐使用教育部全国学生信息咨询与就业指导中心的学职平台（http://xz.chsi.com.cn）；职业认知部分，除作品中简述概况外，选手需另附《职业探索报告》；目标确定部分，需运用科学的决策方法予以合理定位； 计划实施部分，应突出大学期间专业知识学习、职业技能提高的方案设计及可行性分析，并注重对各种资源（如知识资源、人脉资源、资金资源等）的积累方式和途径；反馈修正部分，应有合理的备选方案、分析及实施计划。</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晋级省初赛的作品，封面应清楚填写参赛者的姓名、组别、学校、班级、联系方式等个人信息。</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2.现场PPT展示</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PPT展示主要考察选手的规划思路、验证方法及对目标职业的理解程度。省决赛该环节每位选手限时10分钟，其中，展示限时7分钟，另余3分钟回答评委提问。</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3.情景模拟</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针对选手的职业目标进行情景模拟考察。具体形式将在省复赛选手培训中说明并予以指导。</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十、奖项设置</w:t>
      </w:r>
    </w:p>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（一）选手综合奖</w:t>
      </w:r>
    </w:p>
    <w:tbl>
      <w:tblPr>
        <w:tblStyle w:val="7"/>
        <w:tblW w:w="8783" w:type="dxa"/>
        <w:jc w:val="center"/>
        <w:tblInd w:w="14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418"/>
        <w:gridCol w:w="1417"/>
        <w:gridCol w:w="2268"/>
        <w:gridCol w:w="273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5" w:type="dxa"/>
            <w:tcBorders>
              <w:top w:val="single" w:color="auto" w:sz="12" w:space="0"/>
              <w:left w:val="nil"/>
              <w:bottom w:val="single" w:color="auto" w:sz="4" w:space="0"/>
              <w:right w:val="single" w:color="auto" w:sz="4" w:space="0"/>
            </w:tcBorders>
            <w:shd w:val="clear" w:color="auto" w:fill="D9D9D9"/>
            <w:vAlign w:val="center"/>
          </w:tcPr>
          <w:p>
            <w:pPr>
              <w:spacing w:after="0" w:line="240" w:lineRule="auto"/>
              <w:jc w:val="center"/>
              <w:rPr>
                <w:rFonts w:ascii="宋体" w:hAnsi="宋体"/>
                <w:b/>
                <w:sz w:val="22"/>
                <w:szCs w:val="21"/>
              </w:rPr>
            </w:pPr>
            <w:r>
              <w:rPr>
                <w:rFonts w:hint="eastAsia" w:ascii="宋体" w:hAnsi="宋体"/>
                <w:b/>
                <w:sz w:val="22"/>
                <w:szCs w:val="21"/>
              </w:rPr>
              <w:t>类别</w:t>
            </w:r>
          </w:p>
        </w:tc>
        <w:tc>
          <w:tcPr>
            <w:tcW w:w="1418" w:type="dxa"/>
            <w:tcBorders>
              <w:top w:val="single" w:color="auto" w:sz="12" w:space="0"/>
              <w:left w:val="single" w:color="auto" w:sz="4" w:space="0"/>
              <w:bottom w:val="single" w:color="auto" w:sz="4" w:space="0"/>
              <w:right w:val="single" w:color="auto" w:sz="4" w:space="0"/>
            </w:tcBorders>
            <w:shd w:val="clear" w:color="auto" w:fill="D9D9D9"/>
            <w:vAlign w:val="center"/>
          </w:tcPr>
          <w:p>
            <w:pPr>
              <w:spacing w:after="0" w:line="240" w:lineRule="auto"/>
              <w:jc w:val="center"/>
              <w:rPr>
                <w:rFonts w:ascii="宋体" w:hAnsi="宋体"/>
                <w:b/>
                <w:sz w:val="22"/>
                <w:szCs w:val="21"/>
              </w:rPr>
            </w:pPr>
            <w:r>
              <w:rPr>
                <w:rFonts w:hint="eastAsia" w:ascii="宋体" w:hAnsi="宋体"/>
                <w:b/>
                <w:sz w:val="22"/>
                <w:szCs w:val="21"/>
              </w:rPr>
              <w:t>奖项</w:t>
            </w:r>
          </w:p>
        </w:tc>
        <w:tc>
          <w:tcPr>
            <w:tcW w:w="1417" w:type="dxa"/>
            <w:tcBorders>
              <w:top w:val="single" w:color="auto" w:sz="12" w:space="0"/>
              <w:left w:val="single" w:color="auto" w:sz="4" w:space="0"/>
              <w:bottom w:val="single" w:color="auto" w:sz="4" w:space="0"/>
              <w:right w:val="single" w:color="auto" w:sz="4" w:space="0"/>
            </w:tcBorders>
            <w:shd w:val="clear" w:color="auto" w:fill="D9D9D9"/>
            <w:vAlign w:val="center"/>
          </w:tcPr>
          <w:p>
            <w:pPr>
              <w:spacing w:after="0" w:line="240" w:lineRule="auto"/>
              <w:jc w:val="center"/>
              <w:rPr>
                <w:rFonts w:ascii="宋体" w:hAnsi="宋体"/>
                <w:b/>
                <w:sz w:val="22"/>
                <w:szCs w:val="21"/>
              </w:rPr>
            </w:pPr>
            <w:r>
              <w:rPr>
                <w:rFonts w:hint="eastAsia" w:ascii="宋体" w:hAnsi="宋体"/>
                <w:b/>
                <w:sz w:val="22"/>
                <w:szCs w:val="21"/>
              </w:rPr>
              <w:t>各组别名额</w:t>
            </w:r>
          </w:p>
        </w:tc>
        <w:tc>
          <w:tcPr>
            <w:tcW w:w="2268" w:type="dxa"/>
            <w:tcBorders>
              <w:top w:val="single" w:color="auto" w:sz="12" w:space="0"/>
              <w:left w:val="single" w:color="auto" w:sz="4" w:space="0"/>
              <w:bottom w:val="single" w:color="auto" w:sz="4" w:space="0"/>
              <w:right w:val="single" w:color="auto" w:sz="4" w:space="0"/>
            </w:tcBorders>
            <w:shd w:val="clear" w:color="auto" w:fill="D9D9D9"/>
            <w:vAlign w:val="center"/>
          </w:tcPr>
          <w:p>
            <w:pPr>
              <w:spacing w:after="0" w:line="240" w:lineRule="auto"/>
              <w:jc w:val="center"/>
              <w:rPr>
                <w:rFonts w:ascii="宋体" w:hAnsi="宋体"/>
                <w:b/>
                <w:sz w:val="22"/>
                <w:szCs w:val="21"/>
              </w:rPr>
            </w:pPr>
            <w:r>
              <w:rPr>
                <w:rFonts w:hint="eastAsia" w:ascii="宋体" w:hAnsi="宋体"/>
                <w:b/>
                <w:sz w:val="22"/>
                <w:szCs w:val="21"/>
              </w:rPr>
              <w:t>奖品</w:t>
            </w:r>
          </w:p>
        </w:tc>
        <w:tc>
          <w:tcPr>
            <w:tcW w:w="2735" w:type="dxa"/>
            <w:tcBorders>
              <w:top w:val="single" w:color="auto" w:sz="12" w:space="0"/>
              <w:left w:val="single" w:color="auto" w:sz="4" w:space="0"/>
              <w:bottom w:val="single" w:color="auto" w:sz="4" w:space="0"/>
              <w:right w:val="nil"/>
            </w:tcBorders>
            <w:shd w:val="clear" w:color="auto" w:fill="D9D9D9"/>
            <w:vAlign w:val="center"/>
          </w:tcPr>
          <w:p>
            <w:pPr>
              <w:spacing w:after="0" w:line="240" w:lineRule="auto"/>
              <w:jc w:val="center"/>
              <w:rPr>
                <w:rFonts w:ascii="宋体" w:hAnsi="宋体"/>
                <w:b/>
                <w:sz w:val="22"/>
                <w:szCs w:val="21"/>
              </w:rPr>
            </w:pPr>
            <w:r>
              <w:rPr>
                <w:rFonts w:hint="eastAsia" w:ascii="宋体" w:hAnsi="宋体"/>
                <w:b/>
                <w:sz w:val="22"/>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92" w:hRule="atLeast"/>
          <w:jc w:val="center"/>
        </w:trPr>
        <w:tc>
          <w:tcPr>
            <w:tcW w:w="945" w:type="dxa"/>
            <w:tcBorders>
              <w:top w:val="single" w:color="auto" w:sz="4" w:space="0"/>
              <w:left w:val="nil"/>
              <w:bottom w:val="doub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校赛</w:t>
            </w:r>
          </w:p>
        </w:tc>
        <w:tc>
          <w:tcPr>
            <w:tcW w:w="1418" w:type="dxa"/>
            <w:tcBorders>
              <w:top w:val="single" w:color="auto" w:sz="4" w:space="0"/>
              <w:left w:val="single" w:color="auto" w:sz="4" w:space="0"/>
              <w:bottom w:val="doub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自定</w:t>
            </w:r>
          </w:p>
        </w:tc>
        <w:tc>
          <w:tcPr>
            <w:tcW w:w="1417" w:type="dxa"/>
            <w:tcBorders>
              <w:top w:val="single" w:color="auto" w:sz="4" w:space="0"/>
              <w:left w:val="single" w:color="auto" w:sz="4" w:space="0"/>
              <w:bottom w:val="doub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自定</w:t>
            </w:r>
          </w:p>
        </w:tc>
        <w:tc>
          <w:tcPr>
            <w:tcW w:w="2268" w:type="dxa"/>
            <w:tcBorders>
              <w:top w:val="single" w:color="auto" w:sz="4" w:space="0"/>
              <w:left w:val="single" w:color="auto" w:sz="4" w:space="0"/>
              <w:bottom w:val="double" w:color="auto" w:sz="4" w:space="0"/>
              <w:right w:val="single" w:color="auto" w:sz="4" w:space="0"/>
            </w:tcBorders>
            <w:vAlign w:val="center"/>
          </w:tcPr>
          <w:p>
            <w:pPr>
              <w:spacing w:after="0"/>
              <w:rPr>
                <w:rFonts w:ascii="宋体" w:hAnsi="宋体"/>
                <w:sz w:val="22"/>
                <w:szCs w:val="21"/>
              </w:rPr>
            </w:pPr>
            <w:r>
              <w:rPr>
                <w:rFonts w:hint="eastAsia" w:ascii="宋体" w:hAnsi="宋体"/>
                <w:sz w:val="22"/>
                <w:szCs w:val="21"/>
              </w:rPr>
              <w:t>自定</w:t>
            </w:r>
          </w:p>
        </w:tc>
        <w:tc>
          <w:tcPr>
            <w:tcW w:w="2735" w:type="dxa"/>
            <w:tcBorders>
              <w:top w:val="single" w:color="auto" w:sz="4" w:space="0"/>
              <w:left w:val="single" w:color="auto" w:sz="4" w:space="0"/>
              <w:bottom w:val="double" w:color="auto" w:sz="4" w:space="0"/>
              <w:right w:val="nil"/>
            </w:tcBorders>
            <w:vAlign w:val="center"/>
          </w:tcPr>
          <w:p>
            <w:pPr>
              <w:rPr>
                <w:rFonts w:ascii="宋体" w:hAnsi="宋体"/>
                <w:sz w:val="22"/>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5" w:type="dxa"/>
            <w:vMerge w:val="restart"/>
            <w:tcBorders>
              <w:top w:val="single" w:color="auto" w:sz="4" w:space="0"/>
              <w:left w:val="nil"/>
              <w:bottom w:val="single" w:color="auto" w:sz="12"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省赛</w:t>
            </w:r>
          </w:p>
        </w:tc>
        <w:tc>
          <w:tcPr>
            <w:tcW w:w="141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特等奖</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1名</w:t>
            </w:r>
          </w:p>
        </w:tc>
        <w:tc>
          <w:tcPr>
            <w:tcW w:w="2268" w:type="dxa"/>
            <w:tcBorders>
              <w:top w:val="single" w:color="auto" w:sz="4" w:space="0"/>
              <w:left w:val="single" w:color="auto" w:sz="4" w:space="0"/>
              <w:bottom w:val="single" w:color="auto" w:sz="4" w:space="0"/>
              <w:right w:val="single" w:color="auto" w:sz="4" w:space="0"/>
            </w:tcBorders>
            <w:vAlign w:val="center"/>
          </w:tcPr>
          <w:p>
            <w:pPr>
              <w:spacing w:after="0"/>
              <w:rPr>
                <w:rFonts w:ascii="宋体" w:hAnsi="宋体"/>
                <w:sz w:val="22"/>
                <w:szCs w:val="21"/>
              </w:rPr>
            </w:pPr>
            <w:r>
              <w:rPr>
                <w:rFonts w:hint="eastAsia" w:ascii="宋体" w:hAnsi="宋体"/>
                <w:sz w:val="22"/>
                <w:szCs w:val="21"/>
              </w:rPr>
              <w:t>10000元/名 + 证书</w:t>
            </w:r>
          </w:p>
        </w:tc>
        <w:tc>
          <w:tcPr>
            <w:tcW w:w="2735" w:type="dxa"/>
            <w:tcBorders>
              <w:top w:val="single" w:color="auto" w:sz="4" w:space="0"/>
              <w:left w:val="single" w:color="auto" w:sz="4" w:space="0"/>
              <w:bottom w:val="single" w:color="auto" w:sz="4" w:space="0"/>
              <w:right w:val="nil"/>
            </w:tcBorders>
            <w:vAlign w:val="center"/>
          </w:tcPr>
          <w:p>
            <w:pPr>
              <w:spacing w:after="0"/>
              <w:rPr>
                <w:rFonts w:ascii="宋体" w:hAnsi="宋体"/>
                <w:sz w:val="22"/>
                <w:szCs w:val="18"/>
              </w:rPr>
            </w:pPr>
            <w:r>
              <w:rPr>
                <w:rFonts w:hint="eastAsia" w:ascii="宋体" w:hAnsi="宋体"/>
                <w:sz w:val="22"/>
                <w:szCs w:val="18"/>
              </w:rPr>
              <w:t>同时授予**组“职业规划之星总冠军”称号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5" w:type="dxa"/>
            <w:vMerge w:val="continue"/>
            <w:tcBorders>
              <w:top w:val="single" w:color="auto" w:sz="4" w:space="0"/>
              <w:left w:val="nil"/>
              <w:bottom w:val="single" w:color="auto" w:sz="12" w:space="0"/>
              <w:right w:val="single" w:color="auto" w:sz="4" w:space="0"/>
            </w:tcBorders>
            <w:vAlign w:val="center"/>
          </w:tcPr>
          <w:p>
            <w:pPr>
              <w:widowControl/>
              <w:spacing w:after="0" w:line="240" w:lineRule="auto"/>
              <w:jc w:val="center"/>
              <w:rPr>
                <w:rFonts w:ascii="宋体" w:hAnsi="宋体"/>
                <w:sz w:val="2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一等奖</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9名</w:t>
            </w:r>
          </w:p>
        </w:tc>
        <w:tc>
          <w:tcPr>
            <w:tcW w:w="2268" w:type="dxa"/>
            <w:tcBorders>
              <w:top w:val="single" w:color="auto" w:sz="4" w:space="0"/>
              <w:left w:val="single" w:color="auto" w:sz="4" w:space="0"/>
              <w:bottom w:val="single" w:color="auto" w:sz="4" w:space="0"/>
              <w:right w:val="single" w:color="auto" w:sz="4" w:space="0"/>
            </w:tcBorders>
            <w:vAlign w:val="center"/>
          </w:tcPr>
          <w:p>
            <w:pPr>
              <w:spacing w:after="0"/>
              <w:rPr>
                <w:rFonts w:ascii="宋体" w:hAnsi="宋体"/>
                <w:sz w:val="22"/>
                <w:szCs w:val="21"/>
              </w:rPr>
            </w:pPr>
            <w:r>
              <w:rPr>
                <w:rFonts w:hint="eastAsia" w:ascii="宋体" w:hAnsi="宋体"/>
                <w:sz w:val="22"/>
                <w:szCs w:val="21"/>
              </w:rPr>
              <w:t>7000元/名 + 证书</w:t>
            </w:r>
          </w:p>
        </w:tc>
        <w:tc>
          <w:tcPr>
            <w:tcW w:w="2735" w:type="dxa"/>
            <w:tcBorders>
              <w:top w:val="single" w:color="auto" w:sz="4" w:space="0"/>
              <w:left w:val="single" w:color="auto" w:sz="4" w:space="0"/>
              <w:bottom w:val="single" w:color="auto" w:sz="4" w:space="0"/>
              <w:right w:val="nil"/>
            </w:tcBorders>
            <w:vAlign w:val="center"/>
          </w:tcPr>
          <w:p>
            <w:pPr>
              <w:spacing w:after="0"/>
              <w:rPr>
                <w:rFonts w:ascii="宋体" w:hAnsi="宋体"/>
                <w:sz w:val="22"/>
                <w:szCs w:val="18"/>
              </w:rPr>
            </w:pPr>
            <w:r>
              <w:rPr>
                <w:rFonts w:hint="eastAsia" w:ascii="宋体" w:hAnsi="宋体"/>
                <w:sz w:val="22"/>
                <w:szCs w:val="18"/>
              </w:rPr>
              <w:t>同时授予**组“十佳职业规划之星”称号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5" w:type="dxa"/>
            <w:vMerge w:val="continue"/>
            <w:tcBorders>
              <w:top w:val="single" w:color="auto" w:sz="4" w:space="0"/>
              <w:left w:val="nil"/>
              <w:bottom w:val="single" w:color="auto" w:sz="12" w:space="0"/>
              <w:right w:val="single" w:color="auto" w:sz="4" w:space="0"/>
            </w:tcBorders>
            <w:vAlign w:val="center"/>
          </w:tcPr>
          <w:p>
            <w:pPr>
              <w:widowControl/>
              <w:spacing w:after="0" w:line="240" w:lineRule="auto"/>
              <w:jc w:val="center"/>
              <w:rPr>
                <w:rFonts w:ascii="宋体" w:hAnsi="宋体"/>
                <w:sz w:val="2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二等奖</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10名</w:t>
            </w:r>
          </w:p>
        </w:tc>
        <w:tc>
          <w:tcPr>
            <w:tcW w:w="2268" w:type="dxa"/>
            <w:tcBorders>
              <w:top w:val="single" w:color="auto" w:sz="4" w:space="0"/>
              <w:left w:val="single" w:color="auto" w:sz="4" w:space="0"/>
              <w:bottom w:val="single" w:color="auto" w:sz="4" w:space="0"/>
              <w:right w:val="single" w:color="auto" w:sz="4" w:space="0"/>
            </w:tcBorders>
            <w:vAlign w:val="center"/>
          </w:tcPr>
          <w:p>
            <w:pPr>
              <w:spacing w:after="0"/>
              <w:rPr>
                <w:rFonts w:ascii="宋体" w:hAnsi="宋体"/>
                <w:sz w:val="22"/>
                <w:szCs w:val="21"/>
              </w:rPr>
            </w:pPr>
            <w:r>
              <w:rPr>
                <w:rFonts w:hint="eastAsia" w:ascii="宋体" w:hAnsi="宋体"/>
                <w:sz w:val="22"/>
                <w:szCs w:val="21"/>
              </w:rPr>
              <w:t>4000元/名 + 证书</w:t>
            </w:r>
          </w:p>
        </w:tc>
        <w:tc>
          <w:tcPr>
            <w:tcW w:w="2735" w:type="dxa"/>
            <w:tcBorders>
              <w:top w:val="single" w:color="auto" w:sz="4" w:space="0"/>
              <w:left w:val="single" w:color="auto" w:sz="4" w:space="0"/>
              <w:bottom w:val="single" w:color="auto" w:sz="4" w:space="0"/>
              <w:right w:val="nil"/>
            </w:tcBorders>
            <w:vAlign w:val="center"/>
          </w:tcPr>
          <w:p>
            <w:pPr>
              <w:spacing w:after="0"/>
              <w:rPr>
                <w:rFonts w:ascii="宋体" w:hAnsi="宋体"/>
                <w:sz w:val="22"/>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5" w:type="dxa"/>
            <w:vMerge w:val="continue"/>
            <w:tcBorders>
              <w:top w:val="single" w:color="auto" w:sz="4" w:space="0"/>
              <w:left w:val="nil"/>
              <w:bottom w:val="single" w:color="auto" w:sz="12" w:space="0"/>
              <w:right w:val="single" w:color="auto" w:sz="4" w:space="0"/>
            </w:tcBorders>
            <w:vAlign w:val="center"/>
          </w:tcPr>
          <w:p>
            <w:pPr>
              <w:widowControl/>
              <w:spacing w:after="0" w:line="240" w:lineRule="auto"/>
              <w:jc w:val="center"/>
              <w:rPr>
                <w:rFonts w:ascii="宋体" w:hAnsi="宋体"/>
                <w:sz w:val="22"/>
                <w:szCs w:val="21"/>
              </w:rPr>
            </w:pPr>
          </w:p>
        </w:tc>
        <w:tc>
          <w:tcPr>
            <w:tcW w:w="1418"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三等奖</w:t>
            </w:r>
          </w:p>
        </w:tc>
        <w:tc>
          <w:tcPr>
            <w:tcW w:w="1417" w:type="dxa"/>
            <w:tcBorders>
              <w:top w:val="single" w:color="auto" w:sz="4" w:space="0"/>
              <w:left w:val="single" w:color="auto" w:sz="4" w:space="0"/>
              <w:bottom w:val="single" w:color="auto" w:sz="4"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20名</w:t>
            </w:r>
          </w:p>
        </w:tc>
        <w:tc>
          <w:tcPr>
            <w:tcW w:w="2268" w:type="dxa"/>
            <w:tcBorders>
              <w:top w:val="single" w:color="auto" w:sz="4" w:space="0"/>
              <w:left w:val="single" w:color="auto" w:sz="4" w:space="0"/>
              <w:bottom w:val="single" w:color="auto" w:sz="4" w:space="0"/>
              <w:right w:val="single" w:color="auto" w:sz="4" w:space="0"/>
            </w:tcBorders>
            <w:vAlign w:val="center"/>
          </w:tcPr>
          <w:p>
            <w:pPr>
              <w:spacing w:after="0"/>
              <w:rPr>
                <w:rFonts w:ascii="宋体" w:hAnsi="宋体"/>
                <w:sz w:val="22"/>
                <w:szCs w:val="21"/>
              </w:rPr>
            </w:pPr>
            <w:r>
              <w:rPr>
                <w:rFonts w:hint="eastAsia" w:ascii="宋体" w:hAnsi="宋体"/>
                <w:sz w:val="22"/>
                <w:szCs w:val="21"/>
              </w:rPr>
              <w:t>2000元/名 + 证书</w:t>
            </w:r>
          </w:p>
        </w:tc>
        <w:tc>
          <w:tcPr>
            <w:tcW w:w="2735" w:type="dxa"/>
            <w:tcBorders>
              <w:top w:val="single" w:color="auto" w:sz="4" w:space="0"/>
              <w:left w:val="single" w:color="auto" w:sz="4" w:space="0"/>
              <w:bottom w:val="single" w:color="auto" w:sz="4" w:space="0"/>
              <w:right w:val="nil"/>
            </w:tcBorders>
            <w:vAlign w:val="center"/>
          </w:tcPr>
          <w:p>
            <w:pPr>
              <w:spacing w:after="0"/>
              <w:rPr>
                <w:rFonts w:ascii="宋体" w:hAnsi="宋体"/>
                <w:sz w:val="22"/>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45" w:type="dxa"/>
            <w:vMerge w:val="continue"/>
            <w:tcBorders>
              <w:top w:val="single" w:color="auto" w:sz="4" w:space="0"/>
              <w:left w:val="nil"/>
              <w:bottom w:val="single" w:color="auto" w:sz="12" w:space="0"/>
              <w:right w:val="single" w:color="auto" w:sz="4" w:space="0"/>
            </w:tcBorders>
            <w:vAlign w:val="center"/>
          </w:tcPr>
          <w:p>
            <w:pPr>
              <w:widowControl/>
              <w:spacing w:after="0" w:line="240" w:lineRule="auto"/>
              <w:jc w:val="center"/>
              <w:rPr>
                <w:rFonts w:ascii="宋体" w:hAnsi="宋体"/>
                <w:sz w:val="22"/>
                <w:szCs w:val="21"/>
              </w:rPr>
            </w:pPr>
          </w:p>
        </w:tc>
        <w:tc>
          <w:tcPr>
            <w:tcW w:w="1418" w:type="dxa"/>
            <w:tcBorders>
              <w:top w:val="single" w:color="auto" w:sz="4" w:space="0"/>
              <w:left w:val="single" w:color="auto" w:sz="4" w:space="0"/>
              <w:bottom w:val="single" w:color="auto" w:sz="12"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优胜奖</w:t>
            </w:r>
          </w:p>
        </w:tc>
        <w:tc>
          <w:tcPr>
            <w:tcW w:w="1417" w:type="dxa"/>
            <w:tcBorders>
              <w:top w:val="single" w:color="auto" w:sz="4" w:space="0"/>
              <w:left w:val="single" w:color="auto" w:sz="4" w:space="0"/>
              <w:bottom w:val="single" w:color="auto" w:sz="12" w:space="0"/>
              <w:right w:val="single" w:color="auto" w:sz="4" w:space="0"/>
            </w:tcBorders>
            <w:vAlign w:val="center"/>
          </w:tcPr>
          <w:p>
            <w:pPr>
              <w:spacing w:after="0"/>
              <w:jc w:val="center"/>
              <w:rPr>
                <w:rFonts w:ascii="宋体" w:hAnsi="宋体"/>
                <w:sz w:val="22"/>
                <w:szCs w:val="21"/>
              </w:rPr>
            </w:pPr>
            <w:r>
              <w:rPr>
                <w:rFonts w:hint="eastAsia" w:ascii="宋体" w:hAnsi="宋体"/>
                <w:sz w:val="22"/>
                <w:szCs w:val="21"/>
              </w:rPr>
              <w:t>40名</w:t>
            </w:r>
          </w:p>
        </w:tc>
        <w:tc>
          <w:tcPr>
            <w:tcW w:w="2268" w:type="dxa"/>
            <w:tcBorders>
              <w:top w:val="single" w:color="auto" w:sz="4" w:space="0"/>
              <w:left w:val="single" w:color="auto" w:sz="4" w:space="0"/>
              <w:bottom w:val="single" w:color="auto" w:sz="12" w:space="0"/>
              <w:right w:val="single" w:color="auto" w:sz="4" w:space="0"/>
            </w:tcBorders>
            <w:vAlign w:val="center"/>
          </w:tcPr>
          <w:p>
            <w:pPr>
              <w:spacing w:after="0"/>
              <w:rPr>
                <w:rFonts w:ascii="宋体" w:hAnsi="宋体"/>
                <w:sz w:val="22"/>
                <w:szCs w:val="21"/>
              </w:rPr>
            </w:pPr>
            <w:r>
              <w:rPr>
                <w:rFonts w:hint="eastAsia" w:ascii="宋体" w:hAnsi="宋体"/>
                <w:sz w:val="22"/>
                <w:szCs w:val="21"/>
              </w:rPr>
              <w:t>证书</w:t>
            </w:r>
          </w:p>
        </w:tc>
        <w:tc>
          <w:tcPr>
            <w:tcW w:w="2735" w:type="dxa"/>
            <w:tcBorders>
              <w:top w:val="single" w:color="auto" w:sz="4" w:space="0"/>
              <w:left w:val="single" w:color="auto" w:sz="4" w:space="0"/>
              <w:bottom w:val="single" w:color="auto" w:sz="12" w:space="0"/>
              <w:right w:val="nil"/>
            </w:tcBorders>
            <w:vAlign w:val="center"/>
          </w:tcPr>
          <w:p>
            <w:pPr>
              <w:spacing w:after="0"/>
              <w:rPr>
                <w:rFonts w:ascii="宋体" w:hAnsi="宋体"/>
                <w:sz w:val="22"/>
                <w:szCs w:val="18"/>
                <w:highlight w:val="yellow"/>
              </w:rPr>
            </w:pPr>
            <w:r>
              <w:rPr>
                <w:rFonts w:hint="eastAsia" w:ascii="宋体" w:hAnsi="宋体"/>
                <w:sz w:val="22"/>
                <w:szCs w:val="18"/>
              </w:rPr>
              <w:t>获得者为各组省初赛成绩排名41～80的选手</w:t>
            </w:r>
          </w:p>
        </w:tc>
      </w:tr>
    </w:tbl>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（二）选手单项奖</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根据省复赛及决赛环节，评出最佳人气奖等若干个单项奖，奖品为1000元+证书。具体奖项，请留意赛事网站及平台通知。</w:t>
      </w:r>
    </w:p>
    <w:p>
      <w:pPr>
        <w:spacing w:after="0" w:line="560" w:lineRule="exact"/>
        <w:ind w:firstLine="643" w:firstLineChars="200"/>
        <w:rPr>
          <w:rFonts w:ascii="楷体_GB2312" w:eastAsia="楷体_GB2312"/>
          <w:b/>
          <w:sz w:val="32"/>
          <w:szCs w:val="32"/>
        </w:rPr>
      </w:pPr>
      <w:r>
        <w:rPr>
          <w:rFonts w:hint="eastAsia" w:ascii="楷体_GB2312" w:eastAsia="楷体_GB2312"/>
          <w:b/>
          <w:sz w:val="32"/>
          <w:szCs w:val="32"/>
        </w:rPr>
        <w:t>（三）组织与指导奖</w:t>
      </w:r>
    </w:p>
    <w:tbl>
      <w:tblPr>
        <w:tblStyle w:val="7"/>
        <w:tblW w:w="8718" w:type="dxa"/>
        <w:jc w:val="center"/>
        <w:tblInd w:w="-902"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1455"/>
        <w:gridCol w:w="2576"/>
        <w:gridCol w:w="23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tcBorders>
              <w:top w:val="single" w:color="auto" w:sz="12" w:space="0"/>
              <w:left w:val="nil"/>
              <w:bottom w:val="single" w:color="auto" w:sz="4" w:space="0"/>
              <w:right w:val="single" w:color="auto" w:sz="4" w:space="0"/>
            </w:tcBorders>
            <w:shd w:val="clear" w:color="auto" w:fill="D9D9D9"/>
            <w:vAlign w:val="center"/>
          </w:tcPr>
          <w:p>
            <w:pPr>
              <w:spacing w:after="0"/>
              <w:jc w:val="center"/>
              <w:rPr>
                <w:rFonts w:ascii="宋体" w:hAnsi="宋体"/>
                <w:b/>
                <w:sz w:val="22"/>
                <w:szCs w:val="21"/>
              </w:rPr>
            </w:pPr>
            <w:r>
              <w:rPr>
                <w:rFonts w:hint="eastAsia" w:ascii="宋体" w:hAnsi="宋体"/>
                <w:b/>
                <w:sz w:val="22"/>
                <w:szCs w:val="21"/>
              </w:rPr>
              <w:t>奖项</w:t>
            </w:r>
          </w:p>
        </w:tc>
        <w:tc>
          <w:tcPr>
            <w:tcW w:w="1455" w:type="dxa"/>
            <w:tcBorders>
              <w:top w:val="single" w:color="auto" w:sz="12" w:space="0"/>
              <w:left w:val="single" w:color="auto" w:sz="4" w:space="0"/>
              <w:bottom w:val="single" w:color="auto" w:sz="4" w:space="0"/>
              <w:right w:val="single" w:color="auto" w:sz="4" w:space="0"/>
            </w:tcBorders>
            <w:shd w:val="clear" w:color="auto" w:fill="D9D9D9"/>
            <w:vAlign w:val="center"/>
          </w:tcPr>
          <w:p>
            <w:pPr>
              <w:spacing w:after="0"/>
              <w:jc w:val="center"/>
              <w:rPr>
                <w:rFonts w:ascii="宋体" w:hAnsi="宋体"/>
                <w:b/>
                <w:sz w:val="22"/>
                <w:szCs w:val="21"/>
              </w:rPr>
            </w:pPr>
            <w:r>
              <w:rPr>
                <w:rFonts w:hint="eastAsia" w:ascii="宋体" w:hAnsi="宋体"/>
                <w:b/>
                <w:sz w:val="22"/>
                <w:szCs w:val="21"/>
              </w:rPr>
              <w:t>总名额</w:t>
            </w:r>
          </w:p>
        </w:tc>
        <w:tc>
          <w:tcPr>
            <w:tcW w:w="2576" w:type="dxa"/>
            <w:tcBorders>
              <w:top w:val="single" w:color="auto" w:sz="12" w:space="0"/>
              <w:left w:val="single" w:color="auto" w:sz="4" w:space="0"/>
              <w:bottom w:val="single" w:color="auto" w:sz="4" w:space="0"/>
              <w:right w:val="single" w:color="auto" w:sz="4" w:space="0"/>
            </w:tcBorders>
            <w:shd w:val="clear" w:color="auto" w:fill="D9D9D9"/>
            <w:vAlign w:val="center"/>
          </w:tcPr>
          <w:p>
            <w:pPr>
              <w:spacing w:after="0"/>
              <w:jc w:val="center"/>
              <w:rPr>
                <w:rFonts w:ascii="宋体" w:hAnsi="宋体"/>
                <w:b/>
                <w:sz w:val="22"/>
                <w:szCs w:val="21"/>
              </w:rPr>
            </w:pPr>
            <w:r>
              <w:rPr>
                <w:rFonts w:hint="eastAsia" w:ascii="宋体" w:hAnsi="宋体"/>
                <w:b/>
                <w:sz w:val="22"/>
                <w:szCs w:val="21"/>
              </w:rPr>
              <w:t>奖品</w:t>
            </w:r>
          </w:p>
        </w:tc>
        <w:tc>
          <w:tcPr>
            <w:tcW w:w="2347" w:type="dxa"/>
            <w:tcBorders>
              <w:top w:val="single" w:color="auto" w:sz="12" w:space="0"/>
              <w:left w:val="single" w:color="auto" w:sz="4" w:space="0"/>
              <w:bottom w:val="single" w:color="auto" w:sz="4" w:space="0"/>
              <w:right w:val="nil"/>
            </w:tcBorders>
            <w:shd w:val="clear" w:color="auto" w:fill="D9D9D9"/>
            <w:vAlign w:val="center"/>
          </w:tcPr>
          <w:p>
            <w:pPr>
              <w:spacing w:after="0"/>
              <w:jc w:val="center"/>
              <w:rPr>
                <w:rFonts w:ascii="宋体" w:hAnsi="宋体"/>
                <w:b/>
                <w:sz w:val="22"/>
                <w:szCs w:val="21"/>
              </w:rPr>
            </w:pPr>
            <w:r>
              <w:rPr>
                <w:rFonts w:hint="eastAsia" w:ascii="宋体" w:hAnsi="宋体"/>
                <w:b/>
                <w:sz w:val="22"/>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tcBorders>
              <w:top w:val="single" w:color="auto" w:sz="4" w:space="0"/>
              <w:left w:val="nil"/>
              <w:bottom w:val="single" w:color="auto" w:sz="4"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先进集体奖</w:t>
            </w:r>
          </w:p>
        </w:tc>
        <w:tc>
          <w:tcPr>
            <w:tcW w:w="14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sz w:val="22"/>
                <w:szCs w:val="21"/>
              </w:rPr>
            </w:pPr>
            <w:r>
              <w:rPr>
                <w:rFonts w:hint="eastAsia" w:ascii="宋体" w:hAnsi="宋体"/>
                <w:sz w:val="22"/>
                <w:szCs w:val="21"/>
              </w:rPr>
              <w:t>2名</w:t>
            </w:r>
          </w:p>
        </w:tc>
        <w:tc>
          <w:tcPr>
            <w:tcW w:w="257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牌匾</w:t>
            </w:r>
          </w:p>
        </w:tc>
        <w:tc>
          <w:tcPr>
            <w:tcW w:w="2347" w:type="dxa"/>
            <w:vMerge w:val="restart"/>
            <w:tcBorders>
              <w:top w:val="single" w:color="auto" w:sz="4" w:space="0"/>
              <w:left w:val="single" w:color="auto" w:sz="4" w:space="0"/>
              <w:bottom w:val="single" w:color="auto" w:sz="12" w:space="0"/>
              <w:right w:val="nil"/>
            </w:tcBorders>
            <w:vAlign w:val="center"/>
          </w:tcPr>
          <w:p>
            <w:pPr>
              <w:rPr>
                <w:rFonts w:ascii="宋体" w:hAnsi="宋体"/>
                <w:sz w:val="22"/>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tcBorders>
              <w:top w:val="single" w:color="auto" w:sz="4" w:space="0"/>
              <w:left w:val="nil"/>
              <w:bottom w:val="single" w:color="auto" w:sz="4"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优秀组织高校奖</w:t>
            </w:r>
          </w:p>
        </w:tc>
        <w:tc>
          <w:tcPr>
            <w:tcW w:w="14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sz w:val="22"/>
                <w:szCs w:val="21"/>
              </w:rPr>
            </w:pPr>
            <w:r>
              <w:rPr>
                <w:rFonts w:hint="eastAsia" w:ascii="宋体" w:hAnsi="宋体"/>
                <w:sz w:val="22"/>
                <w:szCs w:val="21"/>
              </w:rPr>
              <w:t>14名</w:t>
            </w:r>
          </w:p>
        </w:tc>
        <w:tc>
          <w:tcPr>
            <w:tcW w:w="257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牌匾</w:t>
            </w:r>
          </w:p>
        </w:tc>
        <w:tc>
          <w:tcPr>
            <w:tcW w:w="2347" w:type="dxa"/>
            <w:vMerge w:val="continue"/>
            <w:tcBorders>
              <w:top w:val="single" w:color="auto" w:sz="4" w:space="0"/>
              <w:left w:val="single" w:color="auto" w:sz="4" w:space="0"/>
              <w:bottom w:val="single" w:color="auto" w:sz="12" w:space="0"/>
              <w:right w:val="nil"/>
            </w:tcBorders>
            <w:vAlign w:val="center"/>
          </w:tcPr>
          <w:p>
            <w:pPr>
              <w:widowControl/>
              <w:spacing w:after="0" w:line="240" w:lineRule="auto"/>
              <w:jc w:val="left"/>
              <w:rPr>
                <w:rFonts w:ascii="宋体" w:hAnsi="宋体"/>
                <w:sz w:val="22"/>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tcBorders>
              <w:top w:val="single" w:color="auto" w:sz="4" w:space="0"/>
              <w:left w:val="nil"/>
              <w:bottom w:val="single" w:color="auto" w:sz="4"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优秀组织者</w:t>
            </w:r>
          </w:p>
        </w:tc>
        <w:tc>
          <w:tcPr>
            <w:tcW w:w="1455"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rPr>
                <w:rFonts w:ascii="宋体" w:hAnsi="宋体"/>
                <w:sz w:val="22"/>
                <w:szCs w:val="21"/>
              </w:rPr>
            </w:pPr>
            <w:r>
              <w:rPr>
                <w:rFonts w:hint="eastAsia" w:ascii="宋体" w:hAnsi="宋体"/>
                <w:sz w:val="22"/>
                <w:szCs w:val="21"/>
              </w:rPr>
              <w:t>16名</w:t>
            </w:r>
          </w:p>
        </w:tc>
        <w:tc>
          <w:tcPr>
            <w:tcW w:w="2576" w:type="dxa"/>
            <w:tcBorders>
              <w:top w:val="single" w:color="auto" w:sz="4" w:space="0"/>
              <w:left w:val="single" w:color="auto" w:sz="4" w:space="0"/>
              <w:bottom w:val="single" w:color="auto" w:sz="4"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2000元/名 + 证书</w:t>
            </w:r>
          </w:p>
        </w:tc>
        <w:tc>
          <w:tcPr>
            <w:tcW w:w="2347" w:type="dxa"/>
            <w:vMerge w:val="continue"/>
            <w:tcBorders>
              <w:top w:val="single" w:color="auto" w:sz="4" w:space="0"/>
              <w:left w:val="single" w:color="auto" w:sz="4" w:space="0"/>
              <w:bottom w:val="single" w:color="auto" w:sz="12" w:space="0"/>
              <w:right w:val="nil"/>
            </w:tcBorders>
            <w:vAlign w:val="center"/>
          </w:tcPr>
          <w:p>
            <w:pPr>
              <w:widowControl/>
              <w:spacing w:after="0" w:line="240" w:lineRule="auto"/>
              <w:jc w:val="left"/>
              <w:rPr>
                <w:rFonts w:ascii="宋体" w:hAnsi="宋体"/>
                <w:sz w:val="22"/>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340" w:type="dxa"/>
            <w:tcBorders>
              <w:top w:val="single" w:color="auto" w:sz="4" w:space="0"/>
              <w:left w:val="nil"/>
              <w:bottom w:val="single" w:color="auto" w:sz="12"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优秀指导老师奖</w:t>
            </w:r>
          </w:p>
        </w:tc>
        <w:tc>
          <w:tcPr>
            <w:tcW w:w="1455" w:type="dxa"/>
            <w:tcBorders>
              <w:top w:val="single" w:color="auto" w:sz="4" w:space="0"/>
              <w:left w:val="single" w:color="auto" w:sz="4" w:space="0"/>
              <w:bottom w:val="single" w:color="auto" w:sz="12" w:space="0"/>
              <w:right w:val="single" w:color="auto" w:sz="4" w:space="0"/>
            </w:tcBorders>
            <w:vAlign w:val="center"/>
          </w:tcPr>
          <w:p>
            <w:pPr>
              <w:spacing w:after="0" w:line="240" w:lineRule="auto"/>
              <w:jc w:val="center"/>
              <w:rPr>
                <w:rFonts w:ascii="宋体" w:hAnsi="宋体"/>
                <w:sz w:val="22"/>
                <w:szCs w:val="21"/>
              </w:rPr>
            </w:pPr>
            <w:r>
              <w:rPr>
                <w:rFonts w:hint="eastAsia" w:ascii="宋体" w:hAnsi="宋体"/>
                <w:sz w:val="22"/>
                <w:szCs w:val="21"/>
              </w:rPr>
              <w:t>20名</w:t>
            </w:r>
          </w:p>
        </w:tc>
        <w:tc>
          <w:tcPr>
            <w:tcW w:w="2576" w:type="dxa"/>
            <w:tcBorders>
              <w:top w:val="single" w:color="auto" w:sz="4" w:space="0"/>
              <w:left w:val="single" w:color="auto" w:sz="4" w:space="0"/>
              <w:bottom w:val="single" w:color="auto" w:sz="12" w:space="0"/>
              <w:right w:val="single" w:color="auto" w:sz="4" w:space="0"/>
            </w:tcBorders>
            <w:vAlign w:val="center"/>
          </w:tcPr>
          <w:p>
            <w:pPr>
              <w:spacing w:after="0" w:line="240" w:lineRule="auto"/>
              <w:rPr>
                <w:rFonts w:ascii="宋体" w:hAnsi="宋体"/>
                <w:sz w:val="22"/>
                <w:szCs w:val="21"/>
              </w:rPr>
            </w:pPr>
            <w:r>
              <w:rPr>
                <w:rFonts w:hint="eastAsia" w:ascii="宋体" w:hAnsi="宋体"/>
                <w:sz w:val="22"/>
                <w:szCs w:val="21"/>
              </w:rPr>
              <w:t>2000元/名 + 证书</w:t>
            </w:r>
          </w:p>
        </w:tc>
        <w:tc>
          <w:tcPr>
            <w:tcW w:w="2347" w:type="dxa"/>
            <w:vMerge w:val="continue"/>
            <w:tcBorders>
              <w:top w:val="single" w:color="auto" w:sz="4" w:space="0"/>
              <w:left w:val="single" w:color="auto" w:sz="4" w:space="0"/>
              <w:bottom w:val="single" w:color="auto" w:sz="12" w:space="0"/>
              <w:right w:val="nil"/>
            </w:tcBorders>
            <w:vAlign w:val="center"/>
          </w:tcPr>
          <w:p>
            <w:pPr>
              <w:widowControl/>
              <w:spacing w:after="0" w:line="240" w:lineRule="auto"/>
              <w:jc w:val="left"/>
              <w:rPr>
                <w:rFonts w:ascii="宋体" w:hAnsi="宋体"/>
                <w:sz w:val="22"/>
                <w:szCs w:val="18"/>
              </w:rPr>
            </w:pPr>
          </w:p>
        </w:tc>
      </w:tr>
    </w:tbl>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申报“优秀组织高校奖”的学校，须于指定时间将相关资料提交至大赛组委会，包括本校赛事各阶段（宣传、发动、组织、实施等）的文本、图片及视频介绍；“优秀组织高校奖”的参评单位，可以是整所高校，也可以是校就业工作部门、院系或协会。“优秀组织者”先由学校提名推荐，写明推荐理由，备齐推荐材料，盖章后于指定时间提交至大赛组委会。该两项奖项，将由大赛组委会对学校提交的材料进行核实并评比后确定。有关事项请留意赛事网站及平台通知。</w:t>
      </w:r>
    </w:p>
    <w:p>
      <w:pPr>
        <w:spacing w:after="0" w:line="560" w:lineRule="exact"/>
        <w:ind w:firstLine="640" w:firstLineChars="200"/>
        <w:rPr>
          <w:rFonts w:ascii="黑体" w:hAnsi="黑体" w:eastAsia="黑体"/>
          <w:sz w:val="32"/>
          <w:szCs w:val="32"/>
        </w:rPr>
      </w:pPr>
      <w:r>
        <w:rPr>
          <w:rFonts w:hint="eastAsia" w:ascii="黑体" w:hAnsi="黑体" w:eastAsia="黑体"/>
          <w:sz w:val="32"/>
          <w:szCs w:val="32"/>
        </w:rPr>
        <w:t>十一、其他</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1.本届大赛标准全称为“‘金湾杯’第七届广东省大学生职业规划大赛”。各校区比赛必须在校赛名称前冠以本届大赛标准全称，并使用省赛统一赛徽与标识。违规者将不列入本届大赛独立赛区，不具备选拔选手进入省复赛资格，学校及老师亦不得参与各类组织奖项评比。</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2.所有参赛作品概不退稿，请自行保留底稿。</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3.参赛者必须是参赛作品的原创作者，获奖作品如发现有抄袭、盗用、作弊等不法手段，或不符合规定及侵犯他人著作权的，即予取消其参赛资格、追回奖励，且一切法律责任由参赛者自行负责。</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4.所有参赛作品的著作权、版权归参赛者和主、承办方共同所有，主、承办方有权将所有入选作品汇集成册出版发行等。任何机构或个人使用参赛作品均需征得主、承办方书面同意。</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5.由于病毒、黑客攻击及其他人为干扰、突发事件或其它主办方、承办方无法控制等不可抗力因素，影响大赛的管理、安全、评审或公正性的情况下，主办方有权单方面推迟或取消大赛部分或全部的比赛。</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6.所有报名参赛单位、参赛者均被视为同意并自愿遵守本届大赛比赛规程。除非另行规定，本比赛规程为参赛者和主办方、承办方就大赛的相关事宜达成的书面协议，受法律保护。</w:t>
      </w:r>
    </w:p>
    <w:p>
      <w:pPr>
        <w:wordWrap w:val="0"/>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7.本届大赛的具体事项、通知、进程及赛果等，请密切留意大学生就业在线（www.gradjob.com.cn）及广东省大学生就业创业系统平台（“青聘果APP”,http://www.qingpinwo.com ）。</w:t>
      </w:r>
    </w:p>
    <w:p>
      <w:pPr>
        <w:spacing w:after="0" w:line="560" w:lineRule="exact"/>
        <w:ind w:firstLine="672" w:firstLineChars="200"/>
        <w:rPr>
          <w:rFonts w:ascii="仿宋_GB2312" w:hAnsi="Calibri" w:eastAsia="仿宋_GB2312"/>
          <w:sz w:val="32"/>
          <w:szCs w:val="32"/>
        </w:rPr>
      </w:pPr>
      <w:r>
        <w:rPr>
          <w:rFonts w:hint="eastAsia" w:ascii="仿宋_GB2312" w:hAnsi="Calibri" w:eastAsia="仿宋_GB2312"/>
          <w:sz w:val="32"/>
          <w:szCs w:val="32"/>
        </w:rPr>
        <w:t>8.大赛组委会拥有本届大赛活动的最终解释权。</w:t>
      </w:r>
    </w:p>
    <w:p>
      <w:pPr>
        <w:rPr>
          <w:rFonts w:ascii="宋体" w:hAnsi="宋体"/>
          <w:sz w:val="22"/>
          <w:szCs w:val="22"/>
        </w:rPr>
      </w:pPr>
    </w:p>
    <w:bookmarkEnd w:id="0"/>
    <w:bookmarkEnd w:id="1"/>
    <w:p>
      <w:pPr>
        <w:widowControl/>
        <w:spacing w:after="0"/>
        <w:jc w:val="left"/>
        <w:rPr>
          <w:rFonts w:ascii="仿宋_GB2312" w:hAnsi="Calibri" w:eastAsia="仿宋_GB2312"/>
          <w:sz w:val="32"/>
          <w:szCs w:val="32"/>
        </w:rPr>
      </w:pPr>
    </w:p>
    <w:p>
      <w:pPr>
        <w:spacing w:after="0" w:line="500" w:lineRule="exact"/>
      </w:pPr>
      <w:bookmarkStart w:id="2" w:name="_GoBack"/>
      <w:bookmarkEnd w:id="2"/>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方正小标宋简体">
    <w:altName w:val="Malgun Gothic Semilight"/>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Malgun Gothic Semilight">
    <w:panose1 w:val="020B0502040204020203"/>
    <w:charset w:val="86"/>
    <w:family w:val="auto"/>
    <w:pitch w:val="default"/>
    <w:sig w:usb0="900002AF" w:usb1="01D77CFB" w:usb2="00000012" w:usb3="00000000" w:csb0="203E01BD" w:csb1="D7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D7764"/>
    <w:rsid w:val="00000D72"/>
    <w:rsid w:val="0001064B"/>
    <w:rsid w:val="0001182A"/>
    <w:rsid w:val="00014D44"/>
    <w:rsid w:val="0001636D"/>
    <w:rsid w:val="0002235C"/>
    <w:rsid w:val="00027EAC"/>
    <w:rsid w:val="0003415B"/>
    <w:rsid w:val="000407C8"/>
    <w:rsid w:val="00046A16"/>
    <w:rsid w:val="00047595"/>
    <w:rsid w:val="0005487A"/>
    <w:rsid w:val="00056F5C"/>
    <w:rsid w:val="000600FC"/>
    <w:rsid w:val="00062478"/>
    <w:rsid w:val="00064728"/>
    <w:rsid w:val="00067226"/>
    <w:rsid w:val="0007265A"/>
    <w:rsid w:val="0007631E"/>
    <w:rsid w:val="00080930"/>
    <w:rsid w:val="00086705"/>
    <w:rsid w:val="00086C38"/>
    <w:rsid w:val="0009265E"/>
    <w:rsid w:val="0009563C"/>
    <w:rsid w:val="00095908"/>
    <w:rsid w:val="000966B0"/>
    <w:rsid w:val="00097675"/>
    <w:rsid w:val="000A0CF2"/>
    <w:rsid w:val="000A0E61"/>
    <w:rsid w:val="000A0E9D"/>
    <w:rsid w:val="000A603D"/>
    <w:rsid w:val="000A7983"/>
    <w:rsid w:val="000C0216"/>
    <w:rsid w:val="000C4E73"/>
    <w:rsid w:val="000D1C15"/>
    <w:rsid w:val="000D30F2"/>
    <w:rsid w:val="000D31BE"/>
    <w:rsid w:val="000D614C"/>
    <w:rsid w:val="000D672E"/>
    <w:rsid w:val="000D7A6C"/>
    <w:rsid w:val="000E355E"/>
    <w:rsid w:val="000E47EC"/>
    <w:rsid w:val="000E763A"/>
    <w:rsid w:val="000E7AEA"/>
    <w:rsid w:val="000F31CA"/>
    <w:rsid w:val="000F45E0"/>
    <w:rsid w:val="00120E79"/>
    <w:rsid w:val="00121FFB"/>
    <w:rsid w:val="00122E55"/>
    <w:rsid w:val="00122EDF"/>
    <w:rsid w:val="00135477"/>
    <w:rsid w:val="00137EBF"/>
    <w:rsid w:val="00141627"/>
    <w:rsid w:val="001419F4"/>
    <w:rsid w:val="0014277F"/>
    <w:rsid w:val="00145A4D"/>
    <w:rsid w:val="0015181E"/>
    <w:rsid w:val="001544DD"/>
    <w:rsid w:val="0015505D"/>
    <w:rsid w:val="00160E85"/>
    <w:rsid w:val="001626A2"/>
    <w:rsid w:val="001628F8"/>
    <w:rsid w:val="00162EB2"/>
    <w:rsid w:val="00164B16"/>
    <w:rsid w:val="00165F72"/>
    <w:rsid w:val="001661CC"/>
    <w:rsid w:val="00166A20"/>
    <w:rsid w:val="00166F5A"/>
    <w:rsid w:val="001757BF"/>
    <w:rsid w:val="00175CFE"/>
    <w:rsid w:val="0017645C"/>
    <w:rsid w:val="00177E5F"/>
    <w:rsid w:val="00181063"/>
    <w:rsid w:val="001833E2"/>
    <w:rsid w:val="00192DBC"/>
    <w:rsid w:val="00193911"/>
    <w:rsid w:val="001948B6"/>
    <w:rsid w:val="001A05A9"/>
    <w:rsid w:val="001A5D36"/>
    <w:rsid w:val="001B2E86"/>
    <w:rsid w:val="001B58F1"/>
    <w:rsid w:val="001B6AC3"/>
    <w:rsid w:val="001C0C76"/>
    <w:rsid w:val="001C2B4F"/>
    <w:rsid w:val="001C780B"/>
    <w:rsid w:val="001D2272"/>
    <w:rsid w:val="001D33EF"/>
    <w:rsid w:val="001D3C15"/>
    <w:rsid w:val="001D60AF"/>
    <w:rsid w:val="001D6D22"/>
    <w:rsid w:val="001D6E08"/>
    <w:rsid w:val="001E3B39"/>
    <w:rsid w:val="001E6333"/>
    <w:rsid w:val="001F194F"/>
    <w:rsid w:val="001F277C"/>
    <w:rsid w:val="001F284C"/>
    <w:rsid w:val="001F2A17"/>
    <w:rsid w:val="00202BE9"/>
    <w:rsid w:val="0020358F"/>
    <w:rsid w:val="002039A0"/>
    <w:rsid w:val="00206672"/>
    <w:rsid w:val="00210B92"/>
    <w:rsid w:val="00212312"/>
    <w:rsid w:val="002130C6"/>
    <w:rsid w:val="002130F0"/>
    <w:rsid w:val="00215BFC"/>
    <w:rsid w:val="00221BC0"/>
    <w:rsid w:val="00222EEC"/>
    <w:rsid w:val="00224346"/>
    <w:rsid w:val="00226E34"/>
    <w:rsid w:val="002306A0"/>
    <w:rsid w:val="0023791B"/>
    <w:rsid w:val="00245CCF"/>
    <w:rsid w:val="0024728D"/>
    <w:rsid w:val="00247EA9"/>
    <w:rsid w:val="00255886"/>
    <w:rsid w:val="00256826"/>
    <w:rsid w:val="00272D2C"/>
    <w:rsid w:val="002734BF"/>
    <w:rsid w:val="002737CB"/>
    <w:rsid w:val="00273AF2"/>
    <w:rsid w:val="002806D3"/>
    <w:rsid w:val="00280B65"/>
    <w:rsid w:val="00282999"/>
    <w:rsid w:val="00284D7C"/>
    <w:rsid w:val="0029638C"/>
    <w:rsid w:val="0029680F"/>
    <w:rsid w:val="002A1627"/>
    <w:rsid w:val="002A2475"/>
    <w:rsid w:val="002A282A"/>
    <w:rsid w:val="002A3329"/>
    <w:rsid w:val="002C088B"/>
    <w:rsid w:val="002C49C3"/>
    <w:rsid w:val="002C5912"/>
    <w:rsid w:val="002D0F78"/>
    <w:rsid w:val="002D1B1F"/>
    <w:rsid w:val="002D3CEF"/>
    <w:rsid w:val="002D422C"/>
    <w:rsid w:val="002D631E"/>
    <w:rsid w:val="002D66DA"/>
    <w:rsid w:val="002D6CC3"/>
    <w:rsid w:val="002E4C5D"/>
    <w:rsid w:val="002E68E9"/>
    <w:rsid w:val="002F4380"/>
    <w:rsid w:val="002F4D03"/>
    <w:rsid w:val="002F73E8"/>
    <w:rsid w:val="003033B9"/>
    <w:rsid w:val="00306761"/>
    <w:rsid w:val="0031005B"/>
    <w:rsid w:val="003106BE"/>
    <w:rsid w:val="00311084"/>
    <w:rsid w:val="00313999"/>
    <w:rsid w:val="003149DC"/>
    <w:rsid w:val="003152FF"/>
    <w:rsid w:val="0031612B"/>
    <w:rsid w:val="00321841"/>
    <w:rsid w:val="00321ED3"/>
    <w:rsid w:val="0032291C"/>
    <w:rsid w:val="003257C9"/>
    <w:rsid w:val="00326082"/>
    <w:rsid w:val="0033404A"/>
    <w:rsid w:val="00336A06"/>
    <w:rsid w:val="00336A42"/>
    <w:rsid w:val="00336BF5"/>
    <w:rsid w:val="00337E1D"/>
    <w:rsid w:val="00340251"/>
    <w:rsid w:val="00342FEC"/>
    <w:rsid w:val="0034657C"/>
    <w:rsid w:val="00346BAB"/>
    <w:rsid w:val="00347557"/>
    <w:rsid w:val="00353899"/>
    <w:rsid w:val="00361463"/>
    <w:rsid w:val="00371A71"/>
    <w:rsid w:val="003731D9"/>
    <w:rsid w:val="00374D97"/>
    <w:rsid w:val="00380373"/>
    <w:rsid w:val="003811DB"/>
    <w:rsid w:val="0038213C"/>
    <w:rsid w:val="00382F8E"/>
    <w:rsid w:val="00386F9F"/>
    <w:rsid w:val="003A6C4C"/>
    <w:rsid w:val="003A6F0D"/>
    <w:rsid w:val="003B2CD1"/>
    <w:rsid w:val="003B6DA8"/>
    <w:rsid w:val="003C2193"/>
    <w:rsid w:val="003D0AE9"/>
    <w:rsid w:val="003D144A"/>
    <w:rsid w:val="003D4516"/>
    <w:rsid w:val="003D6DC9"/>
    <w:rsid w:val="003E4D6B"/>
    <w:rsid w:val="003E6C71"/>
    <w:rsid w:val="003F3CBD"/>
    <w:rsid w:val="003F7356"/>
    <w:rsid w:val="003F7AF3"/>
    <w:rsid w:val="00404516"/>
    <w:rsid w:val="004045EC"/>
    <w:rsid w:val="004057D4"/>
    <w:rsid w:val="00406BDB"/>
    <w:rsid w:val="00411918"/>
    <w:rsid w:val="00411D58"/>
    <w:rsid w:val="00412A79"/>
    <w:rsid w:val="004130DC"/>
    <w:rsid w:val="00415119"/>
    <w:rsid w:val="00416B92"/>
    <w:rsid w:val="00423034"/>
    <w:rsid w:val="0042469A"/>
    <w:rsid w:val="00424E8C"/>
    <w:rsid w:val="00435CA2"/>
    <w:rsid w:val="004361D7"/>
    <w:rsid w:val="00440F56"/>
    <w:rsid w:val="00452337"/>
    <w:rsid w:val="00456860"/>
    <w:rsid w:val="00457048"/>
    <w:rsid w:val="004612E3"/>
    <w:rsid w:val="0046404B"/>
    <w:rsid w:val="00464A00"/>
    <w:rsid w:val="00465950"/>
    <w:rsid w:val="00466A2E"/>
    <w:rsid w:val="0047195E"/>
    <w:rsid w:val="004778CB"/>
    <w:rsid w:val="00477E57"/>
    <w:rsid w:val="00480185"/>
    <w:rsid w:val="00482CCD"/>
    <w:rsid w:val="00483E94"/>
    <w:rsid w:val="00491F9E"/>
    <w:rsid w:val="00495DED"/>
    <w:rsid w:val="004961F1"/>
    <w:rsid w:val="0049778E"/>
    <w:rsid w:val="004A2DD7"/>
    <w:rsid w:val="004A4941"/>
    <w:rsid w:val="004A7CF5"/>
    <w:rsid w:val="004B3A29"/>
    <w:rsid w:val="004B4DE2"/>
    <w:rsid w:val="004B7221"/>
    <w:rsid w:val="004D0CC9"/>
    <w:rsid w:val="004D0F93"/>
    <w:rsid w:val="004D1292"/>
    <w:rsid w:val="004D29DC"/>
    <w:rsid w:val="004D7961"/>
    <w:rsid w:val="004E37E1"/>
    <w:rsid w:val="004E51EB"/>
    <w:rsid w:val="004F1D4B"/>
    <w:rsid w:val="004F272D"/>
    <w:rsid w:val="004F3E52"/>
    <w:rsid w:val="00500CC6"/>
    <w:rsid w:val="00506E9E"/>
    <w:rsid w:val="00512885"/>
    <w:rsid w:val="00512B47"/>
    <w:rsid w:val="00513C2D"/>
    <w:rsid w:val="00515AE0"/>
    <w:rsid w:val="00522ADA"/>
    <w:rsid w:val="005230E4"/>
    <w:rsid w:val="00523648"/>
    <w:rsid w:val="005305A4"/>
    <w:rsid w:val="00534622"/>
    <w:rsid w:val="00535FEC"/>
    <w:rsid w:val="00540DAF"/>
    <w:rsid w:val="005439A7"/>
    <w:rsid w:val="00546524"/>
    <w:rsid w:val="00561ABE"/>
    <w:rsid w:val="00562BFD"/>
    <w:rsid w:val="0057190A"/>
    <w:rsid w:val="00574251"/>
    <w:rsid w:val="00574FD8"/>
    <w:rsid w:val="005756BD"/>
    <w:rsid w:val="005844B1"/>
    <w:rsid w:val="00586F7B"/>
    <w:rsid w:val="0059028F"/>
    <w:rsid w:val="005A0E2E"/>
    <w:rsid w:val="005A2FB3"/>
    <w:rsid w:val="005A3AA2"/>
    <w:rsid w:val="005A68A6"/>
    <w:rsid w:val="005B1BB6"/>
    <w:rsid w:val="005B561C"/>
    <w:rsid w:val="005B599B"/>
    <w:rsid w:val="005B6E42"/>
    <w:rsid w:val="005C310F"/>
    <w:rsid w:val="005C75AC"/>
    <w:rsid w:val="005D024D"/>
    <w:rsid w:val="005D02DE"/>
    <w:rsid w:val="005D0538"/>
    <w:rsid w:val="005D0AC0"/>
    <w:rsid w:val="005D2124"/>
    <w:rsid w:val="005D2155"/>
    <w:rsid w:val="005D3649"/>
    <w:rsid w:val="005D426D"/>
    <w:rsid w:val="005D54E5"/>
    <w:rsid w:val="005D5C6B"/>
    <w:rsid w:val="005E1603"/>
    <w:rsid w:val="005E7450"/>
    <w:rsid w:val="005F1198"/>
    <w:rsid w:val="005F1665"/>
    <w:rsid w:val="005F5767"/>
    <w:rsid w:val="0060227C"/>
    <w:rsid w:val="006045BB"/>
    <w:rsid w:val="00607CBA"/>
    <w:rsid w:val="006106C8"/>
    <w:rsid w:val="00611474"/>
    <w:rsid w:val="00611B86"/>
    <w:rsid w:val="006138A0"/>
    <w:rsid w:val="00616FC4"/>
    <w:rsid w:val="00617FB0"/>
    <w:rsid w:val="00620676"/>
    <w:rsid w:val="00621B06"/>
    <w:rsid w:val="0062220C"/>
    <w:rsid w:val="00627C53"/>
    <w:rsid w:val="00630356"/>
    <w:rsid w:val="00634A65"/>
    <w:rsid w:val="00635FAF"/>
    <w:rsid w:val="00637922"/>
    <w:rsid w:val="00637CF8"/>
    <w:rsid w:val="00642284"/>
    <w:rsid w:val="006435F7"/>
    <w:rsid w:val="00650F20"/>
    <w:rsid w:val="00653D7A"/>
    <w:rsid w:val="00654E75"/>
    <w:rsid w:val="00654F69"/>
    <w:rsid w:val="006601EB"/>
    <w:rsid w:val="006621E6"/>
    <w:rsid w:val="006634F6"/>
    <w:rsid w:val="00663912"/>
    <w:rsid w:val="00663E61"/>
    <w:rsid w:val="0066441B"/>
    <w:rsid w:val="00670672"/>
    <w:rsid w:val="00671FC7"/>
    <w:rsid w:val="006745A0"/>
    <w:rsid w:val="00675E1E"/>
    <w:rsid w:val="00676A85"/>
    <w:rsid w:val="00676C41"/>
    <w:rsid w:val="00676DFB"/>
    <w:rsid w:val="00677F8A"/>
    <w:rsid w:val="0069290C"/>
    <w:rsid w:val="00692B27"/>
    <w:rsid w:val="006A348C"/>
    <w:rsid w:val="006A4900"/>
    <w:rsid w:val="006B10C8"/>
    <w:rsid w:val="006B17C2"/>
    <w:rsid w:val="006B186A"/>
    <w:rsid w:val="006B2341"/>
    <w:rsid w:val="006B2B12"/>
    <w:rsid w:val="006B3261"/>
    <w:rsid w:val="006C55E7"/>
    <w:rsid w:val="006C6ECB"/>
    <w:rsid w:val="006D3AD2"/>
    <w:rsid w:val="006D6030"/>
    <w:rsid w:val="006E37E4"/>
    <w:rsid w:val="006E7935"/>
    <w:rsid w:val="006F10FF"/>
    <w:rsid w:val="006F4A38"/>
    <w:rsid w:val="006F6EF0"/>
    <w:rsid w:val="0070073A"/>
    <w:rsid w:val="007013AC"/>
    <w:rsid w:val="00701701"/>
    <w:rsid w:val="00701899"/>
    <w:rsid w:val="00702FF4"/>
    <w:rsid w:val="00703309"/>
    <w:rsid w:val="007035D5"/>
    <w:rsid w:val="00703CCB"/>
    <w:rsid w:val="007100B1"/>
    <w:rsid w:val="00710C06"/>
    <w:rsid w:val="007134F6"/>
    <w:rsid w:val="007159D2"/>
    <w:rsid w:val="00725F85"/>
    <w:rsid w:val="00726A70"/>
    <w:rsid w:val="007330D0"/>
    <w:rsid w:val="00740886"/>
    <w:rsid w:val="00746928"/>
    <w:rsid w:val="00751812"/>
    <w:rsid w:val="00753AED"/>
    <w:rsid w:val="007564CE"/>
    <w:rsid w:val="00757F6D"/>
    <w:rsid w:val="007609D9"/>
    <w:rsid w:val="00760F77"/>
    <w:rsid w:val="0077132D"/>
    <w:rsid w:val="00774108"/>
    <w:rsid w:val="007768C4"/>
    <w:rsid w:val="00780D56"/>
    <w:rsid w:val="007819C2"/>
    <w:rsid w:val="007914C7"/>
    <w:rsid w:val="00793A3B"/>
    <w:rsid w:val="00794AB2"/>
    <w:rsid w:val="00795D3B"/>
    <w:rsid w:val="00796D2C"/>
    <w:rsid w:val="007A1ED8"/>
    <w:rsid w:val="007A52FD"/>
    <w:rsid w:val="007A6187"/>
    <w:rsid w:val="007A6BF1"/>
    <w:rsid w:val="007A6E0A"/>
    <w:rsid w:val="007B0426"/>
    <w:rsid w:val="007C00A2"/>
    <w:rsid w:val="007C03EE"/>
    <w:rsid w:val="007C1B4C"/>
    <w:rsid w:val="007C2D80"/>
    <w:rsid w:val="007C5981"/>
    <w:rsid w:val="007C71AF"/>
    <w:rsid w:val="007D2A05"/>
    <w:rsid w:val="007D5EF7"/>
    <w:rsid w:val="007D7764"/>
    <w:rsid w:val="007E0757"/>
    <w:rsid w:val="007E7242"/>
    <w:rsid w:val="007F181A"/>
    <w:rsid w:val="007F2405"/>
    <w:rsid w:val="008010A7"/>
    <w:rsid w:val="00802BD7"/>
    <w:rsid w:val="0080601C"/>
    <w:rsid w:val="00821F26"/>
    <w:rsid w:val="008236DD"/>
    <w:rsid w:val="008269F8"/>
    <w:rsid w:val="00826B32"/>
    <w:rsid w:val="0082794A"/>
    <w:rsid w:val="00831CE8"/>
    <w:rsid w:val="008328CF"/>
    <w:rsid w:val="00837ACC"/>
    <w:rsid w:val="00843B07"/>
    <w:rsid w:val="008565F9"/>
    <w:rsid w:val="00860FF8"/>
    <w:rsid w:val="00862B0D"/>
    <w:rsid w:val="008637EC"/>
    <w:rsid w:val="00865EBC"/>
    <w:rsid w:val="00872106"/>
    <w:rsid w:val="00873833"/>
    <w:rsid w:val="00874AA1"/>
    <w:rsid w:val="00874C30"/>
    <w:rsid w:val="008771B5"/>
    <w:rsid w:val="0088358D"/>
    <w:rsid w:val="00887936"/>
    <w:rsid w:val="008919DB"/>
    <w:rsid w:val="008921BF"/>
    <w:rsid w:val="00892220"/>
    <w:rsid w:val="00892870"/>
    <w:rsid w:val="00894EE1"/>
    <w:rsid w:val="00895E4B"/>
    <w:rsid w:val="008976B4"/>
    <w:rsid w:val="008A5482"/>
    <w:rsid w:val="008B0170"/>
    <w:rsid w:val="008B0319"/>
    <w:rsid w:val="008B0DC8"/>
    <w:rsid w:val="008B11DC"/>
    <w:rsid w:val="008B140E"/>
    <w:rsid w:val="008B3E62"/>
    <w:rsid w:val="008B5348"/>
    <w:rsid w:val="008B6882"/>
    <w:rsid w:val="008C1425"/>
    <w:rsid w:val="008C2F9A"/>
    <w:rsid w:val="008C2FF7"/>
    <w:rsid w:val="008C3BEA"/>
    <w:rsid w:val="008C4D86"/>
    <w:rsid w:val="008C61CD"/>
    <w:rsid w:val="008D1A2C"/>
    <w:rsid w:val="008D6F8C"/>
    <w:rsid w:val="008E7960"/>
    <w:rsid w:val="008F06A3"/>
    <w:rsid w:val="008F06B4"/>
    <w:rsid w:val="008F52A5"/>
    <w:rsid w:val="008F6B3E"/>
    <w:rsid w:val="00900310"/>
    <w:rsid w:val="00902DB5"/>
    <w:rsid w:val="00903C94"/>
    <w:rsid w:val="00903E8A"/>
    <w:rsid w:val="00904294"/>
    <w:rsid w:val="009148CA"/>
    <w:rsid w:val="00914AD3"/>
    <w:rsid w:val="00914D9B"/>
    <w:rsid w:val="0092125C"/>
    <w:rsid w:val="0092644C"/>
    <w:rsid w:val="0092721E"/>
    <w:rsid w:val="009341D8"/>
    <w:rsid w:val="00936DEF"/>
    <w:rsid w:val="009370FD"/>
    <w:rsid w:val="009408A6"/>
    <w:rsid w:val="00942849"/>
    <w:rsid w:val="009464E6"/>
    <w:rsid w:val="00946EB2"/>
    <w:rsid w:val="009478BA"/>
    <w:rsid w:val="00961B48"/>
    <w:rsid w:val="00961CF6"/>
    <w:rsid w:val="00964752"/>
    <w:rsid w:val="00965826"/>
    <w:rsid w:val="0096665B"/>
    <w:rsid w:val="009668AA"/>
    <w:rsid w:val="00974C47"/>
    <w:rsid w:val="00981566"/>
    <w:rsid w:val="00981C7D"/>
    <w:rsid w:val="00981F70"/>
    <w:rsid w:val="00996A01"/>
    <w:rsid w:val="009A225C"/>
    <w:rsid w:val="009A3BC9"/>
    <w:rsid w:val="009A42CB"/>
    <w:rsid w:val="009B06A1"/>
    <w:rsid w:val="009B6783"/>
    <w:rsid w:val="009B6B99"/>
    <w:rsid w:val="009C0591"/>
    <w:rsid w:val="009C0D29"/>
    <w:rsid w:val="009C1C72"/>
    <w:rsid w:val="009C2573"/>
    <w:rsid w:val="009C7ED4"/>
    <w:rsid w:val="009D61CB"/>
    <w:rsid w:val="009E2847"/>
    <w:rsid w:val="009E43D3"/>
    <w:rsid w:val="009F45D7"/>
    <w:rsid w:val="009F4C45"/>
    <w:rsid w:val="009F539F"/>
    <w:rsid w:val="009F59AB"/>
    <w:rsid w:val="00A024AA"/>
    <w:rsid w:val="00A04A9C"/>
    <w:rsid w:val="00A0635A"/>
    <w:rsid w:val="00A06F60"/>
    <w:rsid w:val="00A17117"/>
    <w:rsid w:val="00A204CA"/>
    <w:rsid w:val="00A21D27"/>
    <w:rsid w:val="00A22938"/>
    <w:rsid w:val="00A238E5"/>
    <w:rsid w:val="00A30CFB"/>
    <w:rsid w:val="00A319AD"/>
    <w:rsid w:val="00A4154B"/>
    <w:rsid w:val="00A41E75"/>
    <w:rsid w:val="00A4235B"/>
    <w:rsid w:val="00A42DB2"/>
    <w:rsid w:val="00A4538F"/>
    <w:rsid w:val="00A50F8B"/>
    <w:rsid w:val="00A53E59"/>
    <w:rsid w:val="00A65DAE"/>
    <w:rsid w:val="00A76271"/>
    <w:rsid w:val="00A818AE"/>
    <w:rsid w:val="00A83061"/>
    <w:rsid w:val="00A87CEA"/>
    <w:rsid w:val="00A92F9B"/>
    <w:rsid w:val="00AA134F"/>
    <w:rsid w:val="00AA3E70"/>
    <w:rsid w:val="00AA3FD2"/>
    <w:rsid w:val="00AA556D"/>
    <w:rsid w:val="00AA770C"/>
    <w:rsid w:val="00AB5ACB"/>
    <w:rsid w:val="00AB649A"/>
    <w:rsid w:val="00AB74B4"/>
    <w:rsid w:val="00AC1D8E"/>
    <w:rsid w:val="00AC54C3"/>
    <w:rsid w:val="00AD4C77"/>
    <w:rsid w:val="00AD4ED8"/>
    <w:rsid w:val="00AD5376"/>
    <w:rsid w:val="00AD5F7F"/>
    <w:rsid w:val="00AD778C"/>
    <w:rsid w:val="00AE05BB"/>
    <w:rsid w:val="00AF0072"/>
    <w:rsid w:val="00AF1573"/>
    <w:rsid w:val="00B0022B"/>
    <w:rsid w:val="00B010E2"/>
    <w:rsid w:val="00B0200F"/>
    <w:rsid w:val="00B0780F"/>
    <w:rsid w:val="00B10F3B"/>
    <w:rsid w:val="00B11195"/>
    <w:rsid w:val="00B11FFA"/>
    <w:rsid w:val="00B138F6"/>
    <w:rsid w:val="00B14257"/>
    <w:rsid w:val="00B231D3"/>
    <w:rsid w:val="00B3071C"/>
    <w:rsid w:val="00B31275"/>
    <w:rsid w:val="00B327A7"/>
    <w:rsid w:val="00B348C7"/>
    <w:rsid w:val="00B359AB"/>
    <w:rsid w:val="00B4678A"/>
    <w:rsid w:val="00B610FB"/>
    <w:rsid w:val="00B66882"/>
    <w:rsid w:val="00B73E8D"/>
    <w:rsid w:val="00B81398"/>
    <w:rsid w:val="00B82084"/>
    <w:rsid w:val="00B85C73"/>
    <w:rsid w:val="00B906FC"/>
    <w:rsid w:val="00B955D5"/>
    <w:rsid w:val="00B95890"/>
    <w:rsid w:val="00B97A4C"/>
    <w:rsid w:val="00BA1409"/>
    <w:rsid w:val="00BA1D92"/>
    <w:rsid w:val="00BA5345"/>
    <w:rsid w:val="00BA7BE0"/>
    <w:rsid w:val="00BB1386"/>
    <w:rsid w:val="00BB164B"/>
    <w:rsid w:val="00BB295E"/>
    <w:rsid w:val="00BB356B"/>
    <w:rsid w:val="00BB7FC0"/>
    <w:rsid w:val="00BC093D"/>
    <w:rsid w:val="00BC0D01"/>
    <w:rsid w:val="00BC5CFA"/>
    <w:rsid w:val="00BD3D17"/>
    <w:rsid w:val="00BD5BEF"/>
    <w:rsid w:val="00BD5C86"/>
    <w:rsid w:val="00BE346F"/>
    <w:rsid w:val="00BE5A32"/>
    <w:rsid w:val="00BF0126"/>
    <w:rsid w:val="00BF7417"/>
    <w:rsid w:val="00C010D6"/>
    <w:rsid w:val="00C03579"/>
    <w:rsid w:val="00C05C0A"/>
    <w:rsid w:val="00C11126"/>
    <w:rsid w:val="00C12157"/>
    <w:rsid w:val="00C14DAD"/>
    <w:rsid w:val="00C1523D"/>
    <w:rsid w:val="00C21D06"/>
    <w:rsid w:val="00C2515C"/>
    <w:rsid w:val="00C263B4"/>
    <w:rsid w:val="00C31122"/>
    <w:rsid w:val="00C323D3"/>
    <w:rsid w:val="00C37EDB"/>
    <w:rsid w:val="00C422A7"/>
    <w:rsid w:val="00C53F45"/>
    <w:rsid w:val="00C54941"/>
    <w:rsid w:val="00C66936"/>
    <w:rsid w:val="00C66D7F"/>
    <w:rsid w:val="00C752A0"/>
    <w:rsid w:val="00C77430"/>
    <w:rsid w:val="00C815C5"/>
    <w:rsid w:val="00C83141"/>
    <w:rsid w:val="00C835D8"/>
    <w:rsid w:val="00C9203C"/>
    <w:rsid w:val="00C93A82"/>
    <w:rsid w:val="00C9420B"/>
    <w:rsid w:val="00C9506F"/>
    <w:rsid w:val="00CA732F"/>
    <w:rsid w:val="00CA7EFF"/>
    <w:rsid w:val="00CB08F3"/>
    <w:rsid w:val="00CB2FE3"/>
    <w:rsid w:val="00CB7144"/>
    <w:rsid w:val="00CB755D"/>
    <w:rsid w:val="00CC1AA2"/>
    <w:rsid w:val="00CC3845"/>
    <w:rsid w:val="00CC510B"/>
    <w:rsid w:val="00CD0203"/>
    <w:rsid w:val="00CD1504"/>
    <w:rsid w:val="00CD1CAD"/>
    <w:rsid w:val="00CD1DEC"/>
    <w:rsid w:val="00CD21EB"/>
    <w:rsid w:val="00CD2E6C"/>
    <w:rsid w:val="00CD4A0F"/>
    <w:rsid w:val="00CD6EF7"/>
    <w:rsid w:val="00CD7F27"/>
    <w:rsid w:val="00CE2BC9"/>
    <w:rsid w:val="00CE3459"/>
    <w:rsid w:val="00CE48BB"/>
    <w:rsid w:val="00CE7CD2"/>
    <w:rsid w:val="00D02F38"/>
    <w:rsid w:val="00D043A2"/>
    <w:rsid w:val="00D1345E"/>
    <w:rsid w:val="00D26280"/>
    <w:rsid w:val="00D27AFB"/>
    <w:rsid w:val="00D30512"/>
    <w:rsid w:val="00D31976"/>
    <w:rsid w:val="00D31E3F"/>
    <w:rsid w:val="00D337F9"/>
    <w:rsid w:val="00D373A1"/>
    <w:rsid w:val="00D419C5"/>
    <w:rsid w:val="00D47357"/>
    <w:rsid w:val="00D478BB"/>
    <w:rsid w:val="00D60931"/>
    <w:rsid w:val="00D61552"/>
    <w:rsid w:val="00D61B68"/>
    <w:rsid w:val="00D61E69"/>
    <w:rsid w:val="00D626A5"/>
    <w:rsid w:val="00D636C3"/>
    <w:rsid w:val="00D63F0A"/>
    <w:rsid w:val="00D64935"/>
    <w:rsid w:val="00D64EA7"/>
    <w:rsid w:val="00D65D9F"/>
    <w:rsid w:val="00D67B86"/>
    <w:rsid w:val="00D732D4"/>
    <w:rsid w:val="00D73A4E"/>
    <w:rsid w:val="00D73F97"/>
    <w:rsid w:val="00D7459A"/>
    <w:rsid w:val="00D76C94"/>
    <w:rsid w:val="00D80C67"/>
    <w:rsid w:val="00D84DE8"/>
    <w:rsid w:val="00D86B68"/>
    <w:rsid w:val="00D90BCC"/>
    <w:rsid w:val="00DA3A02"/>
    <w:rsid w:val="00DA5ED3"/>
    <w:rsid w:val="00DA6063"/>
    <w:rsid w:val="00DA797B"/>
    <w:rsid w:val="00DB4F55"/>
    <w:rsid w:val="00DB78F4"/>
    <w:rsid w:val="00DB7EF5"/>
    <w:rsid w:val="00DC7E47"/>
    <w:rsid w:val="00DD0AE2"/>
    <w:rsid w:val="00DD2C4C"/>
    <w:rsid w:val="00DE4E80"/>
    <w:rsid w:val="00DE5867"/>
    <w:rsid w:val="00DF0F6F"/>
    <w:rsid w:val="00DF2A29"/>
    <w:rsid w:val="00DF3804"/>
    <w:rsid w:val="00DF4E7D"/>
    <w:rsid w:val="00E00CEF"/>
    <w:rsid w:val="00E03705"/>
    <w:rsid w:val="00E03DDD"/>
    <w:rsid w:val="00E114EF"/>
    <w:rsid w:val="00E15918"/>
    <w:rsid w:val="00E20BE9"/>
    <w:rsid w:val="00E27F45"/>
    <w:rsid w:val="00E34D4E"/>
    <w:rsid w:val="00E47DEF"/>
    <w:rsid w:val="00E50A20"/>
    <w:rsid w:val="00E525EB"/>
    <w:rsid w:val="00E54C56"/>
    <w:rsid w:val="00E568D9"/>
    <w:rsid w:val="00E61E4B"/>
    <w:rsid w:val="00E6249E"/>
    <w:rsid w:val="00E62E03"/>
    <w:rsid w:val="00E669A9"/>
    <w:rsid w:val="00E66A5D"/>
    <w:rsid w:val="00E67ED3"/>
    <w:rsid w:val="00E71E87"/>
    <w:rsid w:val="00E73140"/>
    <w:rsid w:val="00E7508D"/>
    <w:rsid w:val="00E77839"/>
    <w:rsid w:val="00E805BA"/>
    <w:rsid w:val="00E83180"/>
    <w:rsid w:val="00E91999"/>
    <w:rsid w:val="00E94517"/>
    <w:rsid w:val="00E94F4C"/>
    <w:rsid w:val="00EA1C10"/>
    <w:rsid w:val="00EA6B04"/>
    <w:rsid w:val="00EB4D75"/>
    <w:rsid w:val="00EB60A2"/>
    <w:rsid w:val="00EB6E1B"/>
    <w:rsid w:val="00EB79C3"/>
    <w:rsid w:val="00EC2649"/>
    <w:rsid w:val="00EC4A90"/>
    <w:rsid w:val="00EC4CD2"/>
    <w:rsid w:val="00EC5047"/>
    <w:rsid w:val="00EC5787"/>
    <w:rsid w:val="00ED1028"/>
    <w:rsid w:val="00ED3661"/>
    <w:rsid w:val="00ED4678"/>
    <w:rsid w:val="00EE3431"/>
    <w:rsid w:val="00EE39D8"/>
    <w:rsid w:val="00EE661A"/>
    <w:rsid w:val="00EE6DEA"/>
    <w:rsid w:val="00EF0269"/>
    <w:rsid w:val="00EF58A8"/>
    <w:rsid w:val="00EF5B68"/>
    <w:rsid w:val="00EF61AC"/>
    <w:rsid w:val="00F10230"/>
    <w:rsid w:val="00F109AC"/>
    <w:rsid w:val="00F1448D"/>
    <w:rsid w:val="00F1457C"/>
    <w:rsid w:val="00F16180"/>
    <w:rsid w:val="00F22512"/>
    <w:rsid w:val="00F26F88"/>
    <w:rsid w:val="00F301B2"/>
    <w:rsid w:val="00F314B6"/>
    <w:rsid w:val="00F32BB0"/>
    <w:rsid w:val="00F35A77"/>
    <w:rsid w:val="00F4027D"/>
    <w:rsid w:val="00F41C29"/>
    <w:rsid w:val="00F42238"/>
    <w:rsid w:val="00F426DC"/>
    <w:rsid w:val="00F42C7F"/>
    <w:rsid w:val="00F45000"/>
    <w:rsid w:val="00F51A73"/>
    <w:rsid w:val="00F524D5"/>
    <w:rsid w:val="00F52E7F"/>
    <w:rsid w:val="00F54517"/>
    <w:rsid w:val="00F54D47"/>
    <w:rsid w:val="00F570C8"/>
    <w:rsid w:val="00F74B65"/>
    <w:rsid w:val="00F75224"/>
    <w:rsid w:val="00F77C15"/>
    <w:rsid w:val="00F77F16"/>
    <w:rsid w:val="00F81B02"/>
    <w:rsid w:val="00F84DF5"/>
    <w:rsid w:val="00F850AE"/>
    <w:rsid w:val="00F87852"/>
    <w:rsid w:val="00F908BA"/>
    <w:rsid w:val="00F921C6"/>
    <w:rsid w:val="00FA1954"/>
    <w:rsid w:val="00FA427B"/>
    <w:rsid w:val="00FA7AE2"/>
    <w:rsid w:val="00FC291E"/>
    <w:rsid w:val="00FC517B"/>
    <w:rsid w:val="00FE03CF"/>
    <w:rsid w:val="00FE5EA2"/>
    <w:rsid w:val="00FE690A"/>
    <w:rsid w:val="00FF5DD8"/>
    <w:rsid w:val="00FF7D5F"/>
    <w:rsid w:val="190A69D0"/>
    <w:rsid w:val="433C397D"/>
    <w:rsid w:val="7C9667DF"/>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qFormat/>
    <w:uiPriority w:val="0"/>
    <w:pPr>
      <w:spacing w:after="0" w:line="240" w:lineRule="auto"/>
    </w:pPr>
    <w:rPr>
      <w:sz w:val="18"/>
      <w:szCs w:val="18"/>
    </w:rPr>
  </w:style>
  <w:style w:type="paragraph" w:styleId="3">
    <w:name w:val="footer"/>
    <w:basedOn w:val="1"/>
    <w:link w:val="9"/>
    <w:qFormat/>
    <w:uiPriority w:val="0"/>
    <w:pPr>
      <w:tabs>
        <w:tab w:val="center" w:pos="4153"/>
        <w:tab w:val="right" w:pos="8306"/>
      </w:tabs>
      <w:snapToGrid w:val="0"/>
      <w:spacing w:line="240" w:lineRule="auto"/>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spacing w:line="240" w:lineRule="auto"/>
      <w:jc w:val="center"/>
    </w:pPr>
    <w:rPr>
      <w:sz w:val="18"/>
      <w:szCs w:val="18"/>
    </w:rPr>
  </w:style>
  <w:style w:type="character" w:styleId="6">
    <w:name w:val="Hyperlink"/>
    <w:unhideWhenUsed/>
    <w:qFormat/>
    <w:uiPriority w:val="0"/>
    <w:rPr>
      <w:color w:val="0000FF"/>
      <w:u w:val="single"/>
    </w:rPr>
  </w:style>
  <w:style w:type="character" w:customStyle="1" w:styleId="8">
    <w:name w:val="页眉 Char"/>
    <w:basedOn w:val="5"/>
    <w:link w:val="4"/>
    <w:qFormat/>
    <w:uiPriority w:val="0"/>
    <w:rPr>
      <w:kern w:val="2"/>
      <w:sz w:val="18"/>
      <w:szCs w:val="18"/>
    </w:rPr>
  </w:style>
  <w:style w:type="character" w:customStyle="1" w:styleId="9">
    <w:name w:val="页脚 Char"/>
    <w:basedOn w:val="5"/>
    <w:link w:val="3"/>
    <w:qFormat/>
    <w:uiPriority w:val="0"/>
    <w:rPr>
      <w:kern w:val="2"/>
      <w:sz w:val="18"/>
      <w:szCs w:val="18"/>
    </w:rPr>
  </w:style>
  <w:style w:type="character" w:customStyle="1" w:styleId="10">
    <w:name w:val="批注框文本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740</Words>
  <Characters>4221</Characters>
  <Lines>35</Lines>
  <Paragraphs>9</Paragraphs>
  <ScaleCrop>false</ScaleCrop>
  <LinksUpToDate>false</LinksUpToDate>
  <CharactersWithSpaces>4952</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2017-03-28T06:45:00Z</dcterms:created>
  <dc:creator>鮸໩㍄ࣃ鯰໩</dc:creator>
  <cp:lastModifiedBy>lenovo</cp:lastModifiedBy>
  <cp:lastPrinted>2017-03-28T07:57:00Z</cp:lastPrinted>
  <dcterms:modified xsi:type="dcterms:W3CDTF">2017-03-30T00:48:21Z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